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D9" w:rsidRPr="008F3774" w:rsidRDefault="00DA68D9" w:rsidP="00DA68D9">
      <w:pPr>
        <w:spacing w:after="0" w:line="240" w:lineRule="auto"/>
        <w:jc w:val="center"/>
        <w:rPr>
          <w:b/>
          <w:bCs/>
          <w:szCs w:val="24"/>
        </w:rPr>
      </w:pPr>
      <w:bookmarkStart w:id="0" w:name="_GoBack"/>
      <w:r w:rsidRPr="008F3774">
        <w:rPr>
          <w:b/>
          <w:bCs/>
          <w:szCs w:val="24"/>
        </w:rPr>
        <w:t>DENSIDADE DE ESTOCAGEM DE ALEVINOS DE JUNDIÁ (</w:t>
      </w:r>
      <w:r w:rsidRPr="008F3774">
        <w:rPr>
          <w:b/>
          <w:bCs/>
          <w:i/>
          <w:szCs w:val="24"/>
        </w:rPr>
        <w:t>Rhamdia quelen</w:t>
      </w:r>
      <w:r w:rsidRPr="008F3774">
        <w:rPr>
          <w:b/>
          <w:bCs/>
          <w:szCs w:val="24"/>
        </w:rPr>
        <w:t>) CULTIVADOS EM TANQUES-REDE</w:t>
      </w:r>
    </w:p>
    <w:bookmarkEnd w:id="0"/>
    <w:p w:rsidR="00DA68D9" w:rsidRPr="008F3774" w:rsidRDefault="00DA68D9" w:rsidP="00DA68D9">
      <w:pPr>
        <w:spacing w:after="0" w:line="240" w:lineRule="auto"/>
        <w:jc w:val="center"/>
        <w:rPr>
          <w:b/>
          <w:bCs/>
          <w:szCs w:val="24"/>
        </w:rPr>
      </w:pPr>
    </w:p>
    <w:p w:rsidR="00DA68D9" w:rsidRPr="008F3774" w:rsidRDefault="00C978E1" w:rsidP="00DA68D9">
      <w:pPr>
        <w:spacing w:after="0" w:line="240" w:lineRule="auto"/>
        <w:jc w:val="center"/>
        <w:rPr>
          <w:bCs/>
          <w:szCs w:val="24"/>
          <w:vertAlign w:val="superscript"/>
        </w:rPr>
      </w:pPr>
      <w:r w:rsidRPr="00C978E1">
        <w:t>Hellen Krystiane Alves Ferreira</w:t>
      </w:r>
      <w:r>
        <w:t>¹*;</w:t>
      </w:r>
      <w:r w:rsidRPr="008F3774">
        <w:rPr>
          <w:bCs/>
          <w:szCs w:val="24"/>
        </w:rPr>
        <w:t xml:space="preserve"> </w:t>
      </w:r>
      <w:r>
        <w:rPr>
          <w:bCs/>
          <w:szCs w:val="24"/>
        </w:rPr>
        <w:t>Celso Carlos Buglione Neto</w:t>
      </w:r>
      <w:r w:rsidR="00826FAA" w:rsidRPr="00826FAA">
        <w:rPr>
          <w:bCs/>
          <w:szCs w:val="24"/>
          <w:vertAlign w:val="superscript"/>
        </w:rPr>
        <w:t>2</w:t>
      </w:r>
      <w:r>
        <w:rPr>
          <w:bCs/>
          <w:szCs w:val="24"/>
        </w:rPr>
        <w:t>;</w:t>
      </w:r>
      <w:r w:rsidR="00DA68D9" w:rsidRPr="008F3774">
        <w:rPr>
          <w:bCs/>
          <w:szCs w:val="24"/>
        </w:rPr>
        <w:t xml:space="preserve"> André Luiz Watanabe³</w:t>
      </w:r>
      <w:r>
        <w:rPr>
          <w:bCs/>
          <w:szCs w:val="24"/>
        </w:rPr>
        <w:t>;</w:t>
      </w:r>
      <w:r w:rsidR="00DA68D9" w:rsidRPr="008F3774">
        <w:rPr>
          <w:bCs/>
          <w:szCs w:val="24"/>
        </w:rPr>
        <w:t xml:space="preserve"> Adilson Reidel</w:t>
      </w:r>
      <w:r w:rsidR="00826FAA">
        <w:rPr>
          <w:bCs/>
          <w:szCs w:val="24"/>
          <w:vertAlign w:val="superscript"/>
        </w:rPr>
        <w:t>4</w:t>
      </w:r>
      <w:r w:rsidRPr="00826FAA">
        <w:rPr>
          <w:bCs/>
          <w:szCs w:val="24"/>
        </w:rPr>
        <w:t>;</w:t>
      </w:r>
      <w:r w:rsidRPr="00C978E1">
        <w:rPr>
          <w:bCs/>
          <w:szCs w:val="24"/>
        </w:rPr>
        <w:t xml:space="preserve"> </w:t>
      </w:r>
      <w:r w:rsidR="00826FAA">
        <w:rPr>
          <w:bCs/>
          <w:szCs w:val="24"/>
        </w:rPr>
        <w:t>Flavia Renata Potrich</w:t>
      </w:r>
      <w:r w:rsidR="002E188F">
        <w:rPr>
          <w:bCs/>
          <w:szCs w:val="24"/>
        </w:rPr>
        <w:t xml:space="preserve"> Signor</w:t>
      </w:r>
      <w:r w:rsidR="00826FAA" w:rsidRPr="00826FAA">
        <w:rPr>
          <w:bCs/>
          <w:szCs w:val="24"/>
          <w:vertAlign w:val="superscript"/>
        </w:rPr>
        <w:t>5</w:t>
      </w:r>
      <w:r w:rsidR="00826FAA">
        <w:rPr>
          <w:bCs/>
          <w:szCs w:val="24"/>
        </w:rPr>
        <w:t xml:space="preserve">; </w:t>
      </w:r>
      <w:r w:rsidRPr="008F3774">
        <w:rPr>
          <w:bCs/>
          <w:szCs w:val="24"/>
        </w:rPr>
        <w:t>Arcangelo Augusto Signor</w:t>
      </w:r>
      <w:r w:rsidR="00826FAA">
        <w:rPr>
          <w:bCs/>
          <w:szCs w:val="24"/>
          <w:vertAlign w:val="superscript"/>
        </w:rPr>
        <w:t>5</w:t>
      </w:r>
    </w:p>
    <w:p w:rsidR="00DA68D9" w:rsidRPr="008F3774" w:rsidRDefault="00DA68D9" w:rsidP="00DA68D9">
      <w:pPr>
        <w:spacing w:after="0" w:line="240" w:lineRule="auto"/>
        <w:jc w:val="center"/>
        <w:rPr>
          <w:bCs/>
          <w:szCs w:val="24"/>
        </w:rPr>
      </w:pPr>
    </w:p>
    <w:p w:rsidR="00C978E1" w:rsidRPr="00826FAA" w:rsidRDefault="00826FAA" w:rsidP="00C978E1">
      <w:pPr>
        <w:spacing w:after="0" w:line="240" w:lineRule="auto"/>
        <w:jc w:val="both"/>
        <w:rPr>
          <w:rFonts w:eastAsia="Arial"/>
          <w:bCs/>
          <w:color w:val="000000"/>
          <w:sz w:val="20"/>
          <w:szCs w:val="24"/>
        </w:rPr>
      </w:pPr>
      <w:r w:rsidRPr="00826FAA">
        <w:rPr>
          <w:rFonts w:eastAsia="Arial"/>
          <w:bCs/>
          <w:color w:val="000000"/>
          <w:sz w:val="20"/>
          <w:szCs w:val="24"/>
          <w:vertAlign w:val="superscript"/>
        </w:rPr>
        <w:t>1</w:t>
      </w:r>
      <w:hyperlink r:id="rId7" w:history="1">
        <w:r w:rsidR="00C978E1" w:rsidRPr="00826FAA">
          <w:rPr>
            <w:rStyle w:val="Hyperlink"/>
            <w:sz w:val="20"/>
            <w:szCs w:val="24"/>
            <w:shd w:val="clear" w:color="auto" w:fill="FFFFFF"/>
          </w:rPr>
          <w:t>hellenferreira63@gmail.com</w:t>
        </w:r>
      </w:hyperlink>
      <w:r w:rsidR="00C978E1" w:rsidRPr="00826FAA">
        <w:rPr>
          <w:color w:val="555555"/>
          <w:sz w:val="20"/>
          <w:szCs w:val="24"/>
          <w:shd w:val="clear" w:color="auto" w:fill="FFFFFF"/>
        </w:rPr>
        <w:t xml:space="preserve">. </w:t>
      </w:r>
      <w:r w:rsidR="00C978E1" w:rsidRPr="00826FAA">
        <w:rPr>
          <w:rFonts w:eastAsia="Arial"/>
          <w:bCs/>
          <w:color w:val="000000"/>
          <w:sz w:val="20"/>
          <w:szCs w:val="24"/>
        </w:rPr>
        <w:t>Acadêmica do Curso de Engenharia de Aquicultura – IFPR/Foz do Iguaçu.</w:t>
      </w:r>
      <w:r w:rsidR="009E7188">
        <w:rPr>
          <w:rFonts w:eastAsia="Arial"/>
          <w:bCs/>
          <w:color w:val="000000"/>
          <w:sz w:val="20"/>
          <w:szCs w:val="24"/>
        </w:rPr>
        <w:t xml:space="preserve"> </w:t>
      </w:r>
      <w:r w:rsidRPr="00826FAA">
        <w:rPr>
          <w:rFonts w:eastAsia="Arial"/>
          <w:bCs/>
          <w:color w:val="000000"/>
          <w:sz w:val="20"/>
          <w:szCs w:val="24"/>
          <w:vertAlign w:val="superscript"/>
        </w:rPr>
        <w:t>2</w:t>
      </w:r>
      <w:hyperlink r:id="rId8" w:history="1">
        <w:r w:rsidRPr="00826FAA">
          <w:rPr>
            <w:rStyle w:val="Hyperlink"/>
            <w:rFonts w:eastAsia="Arial"/>
            <w:sz w:val="20"/>
            <w:szCs w:val="24"/>
          </w:rPr>
          <w:t>celsoc@itaipu.gov.br</w:t>
        </w:r>
      </w:hyperlink>
      <w:r w:rsidRPr="00826FAA">
        <w:rPr>
          <w:rFonts w:eastAsia="Arial"/>
          <w:bCs/>
          <w:color w:val="000000"/>
          <w:sz w:val="20"/>
          <w:szCs w:val="24"/>
        </w:rPr>
        <w:t xml:space="preserve">.  </w:t>
      </w:r>
      <w:r w:rsidR="008B385C">
        <w:rPr>
          <w:sz w:val="20"/>
          <w:szCs w:val="24"/>
          <w:shd w:val="clear" w:color="auto" w:fill="FFFFFF"/>
        </w:rPr>
        <w:t>Mestre em</w:t>
      </w:r>
      <w:r w:rsidRPr="00826FAA">
        <w:rPr>
          <w:sz w:val="20"/>
          <w:szCs w:val="24"/>
          <w:shd w:val="clear" w:color="auto" w:fill="FFFFFF"/>
        </w:rPr>
        <w:t xml:space="preserve"> </w:t>
      </w:r>
      <w:r w:rsidR="009C1047">
        <w:rPr>
          <w:sz w:val="20"/>
          <w:szCs w:val="24"/>
          <w:shd w:val="clear" w:color="auto" w:fill="FFFFFF"/>
        </w:rPr>
        <w:t>Aquicultura, Itaipu Binacional/</w:t>
      </w:r>
      <w:r w:rsidRPr="00826FAA">
        <w:rPr>
          <w:sz w:val="20"/>
          <w:szCs w:val="24"/>
          <w:shd w:val="clear" w:color="auto" w:fill="FFFFFF"/>
        </w:rPr>
        <w:t>Foz do Iguaçu.</w:t>
      </w:r>
      <w:r w:rsidR="009E7188">
        <w:rPr>
          <w:sz w:val="20"/>
          <w:szCs w:val="24"/>
          <w:shd w:val="clear" w:color="auto" w:fill="FFFFFF"/>
        </w:rPr>
        <w:t xml:space="preserve"> </w:t>
      </w:r>
      <w:r w:rsidRPr="00826FAA">
        <w:rPr>
          <w:sz w:val="20"/>
          <w:szCs w:val="24"/>
          <w:shd w:val="clear" w:color="auto" w:fill="FFFFFF"/>
          <w:vertAlign w:val="superscript"/>
        </w:rPr>
        <w:t>3</w:t>
      </w:r>
      <w:hyperlink r:id="rId9" w:history="1">
        <w:r w:rsidRPr="00826FAA">
          <w:rPr>
            <w:rStyle w:val="Hyperlink"/>
            <w:sz w:val="20"/>
            <w:szCs w:val="24"/>
            <w:shd w:val="clear" w:color="auto" w:fill="FFFFFF"/>
          </w:rPr>
          <w:t>andrelw@itaipu.gov.br</w:t>
        </w:r>
      </w:hyperlink>
      <w:r w:rsidRPr="00826FAA">
        <w:rPr>
          <w:color w:val="555555"/>
          <w:sz w:val="20"/>
          <w:szCs w:val="24"/>
          <w:shd w:val="clear" w:color="auto" w:fill="FFFFFF"/>
        </w:rPr>
        <w:t xml:space="preserve">. </w:t>
      </w:r>
      <w:r w:rsidRPr="00826FAA">
        <w:rPr>
          <w:sz w:val="20"/>
          <w:szCs w:val="24"/>
          <w:shd w:val="clear" w:color="auto" w:fill="FFFFFF"/>
        </w:rPr>
        <w:t xml:space="preserve">Engenheiro </w:t>
      </w:r>
      <w:r w:rsidR="009C1047">
        <w:rPr>
          <w:sz w:val="20"/>
          <w:szCs w:val="24"/>
          <w:shd w:val="clear" w:color="auto" w:fill="FFFFFF"/>
        </w:rPr>
        <w:t>Zootecnia e Engenharia de Alimentos</w:t>
      </w:r>
      <w:r w:rsidRPr="00826FAA">
        <w:rPr>
          <w:sz w:val="20"/>
          <w:szCs w:val="24"/>
          <w:shd w:val="clear" w:color="auto" w:fill="FFFFFF"/>
        </w:rPr>
        <w:t>, Itaipu Binacional</w:t>
      </w:r>
      <w:r w:rsidR="009C1047">
        <w:rPr>
          <w:sz w:val="20"/>
          <w:szCs w:val="24"/>
          <w:shd w:val="clear" w:color="auto" w:fill="FFFFFF"/>
        </w:rPr>
        <w:t>/</w:t>
      </w:r>
      <w:r w:rsidRPr="00826FAA">
        <w:rPr>
          <w:sz w:val="20"/>
          <w:szCs w:val="24"/>
          <w:shd w:val="clear" w:color="auto" w:fill="FFFFFF"/>
        </w:rPr>
        <w:t>Foz do Iguaçu.</w:t>
      </w:r>
      <w:r w:rsidR="009E7188">
        <w:rPr>
          <w:sz w:val="20"/>
          <w:szCs w:val="24"/>
          <w:shd w:val="clear" w:color="auto" w:fill="FFFFFF"/>
        </w:rPr>
        <w:t xml:space="preserve"> </w:t>
      </w:r>
      <w:r w:rsidRPr="00826FAA">
        <w:rPr>
          <w:rFonts w:eastAsia="Arial"/>
          <w:bCs/>
          <w:color w:val="000000"/>
          <w:sz w:val="20"/>
          <w:szCs w:val="24"/>
          <w:vertAlign w:val="superscript"/>
        </w:rPr>
        <w:t>4</w:t>
      </w:r>
      <w:hyperlink r:id="rId10" w:history="1">
        <w:r w:rsidR="00C978E1" w:rsidRPr="00826FAA">
          <w:rPr>
            <w:rStyle w:val="Hyperlink"/>
            <w:rFonts w:eastAsia="Arial"/>
            <w:sz w:val="20"/>
            <w:szCs w:val="24"/>
          </w:rPr>
          <w:t>adislon.reidel@ifpr.edu.br</w:t>
        </w:r>
      </w:hyperlink>
      <w:r w:rsidR="00C978E1" w:rsidRPr="00826FAA">
        <w:rPr>
          <w:rFonts w:eastAsia="Arial"/>
          <w:bCs/>
          <w:color w:val="000000"/>
          <w:sz w:val="20"/>
          <w:szCs w:val="24"/>
        </w:rPr>
        <w:t>. Doutorado em Aquicultura – IFPR/Foz do Iguaçu.</w:t>
      </w:r>
      <w:r w:rsidR="000B1F53">
        <w:rPr>
          <w:rFonts w:eastAsia="Arial"/>
          <w:bCs/>
          <w:color w:val="000000"/>
          <w:sz w:val="20"/>
          <w:szCs w:val="24"/>
        </w:rPr>
        <w:t xml:space="preserve"> </w:t>
      </w:r>
      <w:r w:rsidRPr="00826FAA">
        <w:rPr>
          <w:rFonts w:eastAsia="Arial"/>
          <w:bCs/>
          <w:color w:val="000000"/>
          <w:sz w:val="20"/>
          <w:szCs w:val="24"/>
          <w:vertAlign w:val="superscript"/>
        </w:rPr>
        <w:t>5</w:t>
      </w:r>
      <w:hyperlink r:id="rId11" w:history="1">
        <w:r w:rsidR="00C978E1" w:rsidRPr="00826FAA">
          <w:rPr>
            <w:rStyle w:val="Hyperlink"/>
            <w:rFonts w:eastAsia="Arial"/>
            <w:sz w:val="20"/>
            <w:szCs w:val="24"/>
          </w:rPr>
          <w:t>flavia-potrich@hotmail.com</w:t>
        </w:r>
      </w:hyperlink>
      <w:r w:rsidR="00C978E1" w:rsidRPr="00826FAA">
        <w:rPr>
          <w:rFonts w:eastAsia="Arial"/>
          <w:bCs/>
          <w:color w:val="000000"/>
          <w:sz w:val="20"/>
          <w:szCs w:val="24"/>
        </w:rPr>
        <w:t>. Doutoranda em Recursos Pesqueiros e Engenharia de Pesca – Unioeste/Toledo.</w:t>
      </w:r>
      <w:r w:rsidR="000B1F53">
        <w:rPr>
          <w:rFonts w:eastAsia="Arial"/>
          <w:bCs/>
          <w:color w:val="000000"/>
          <w:sz w:val="20"/>
          <w:szCs w:val="24"/>
        </w:rPr>
        <w:t xml:space="preserve"> </w:t>
      </w:r>
      <w:r w:rsidR="00C978E1" w:rsidRPr="00826FAA">
        <w:rPr>
          <w:rFonts w:eastAsia="Arial"/>
          <w:bCs/>
          <w:color w:val="000000"/>
          <w:sz w:val="20"/>
          <w:szCs w:val="24"/>
          <w:vertAlign w:val="superscript"/>
        </w:rPr>
        <w:t>6</w:t>
      </w:r>
      <w:hyperlink r:id="rId12" w:history="1">
        <w:r w:rsidR="00C978E1" w:rsidRPr="00826FAA">
          <w:rPr>
            <w:rStyle w:val="Hyperlink"/>
            <w:rFonts w:eastAsia="Arial"/>
            <w:sz w:val="20"/>
            <w:szCs w:val="24"/>
          </w:rPr>
          <w:t>arcangelo.signor@ifpr.edu.br</w:t>
        </w:r>
      </w:hyperlink>
      <w:r w:rsidR="00C978E1" w:rsidRPr="00826FAA">
        <w:rPr>
          <w:rFonts w:eastAsia="Arial"/>
          <w:bCs/>
          <w:color w:val="000000"/>
          <w:sz w:val="20"/>
          <w:szCs w:val="24"/>
        </w:rPr>
        <w:t>. Doutorado em Zootecnia – IFPR/Foz do Iguaçu.</w:t>
      </w:r>
    </w:p>
    <w:p w:rsidR="00C978E1" w:rsidRDefault="00C978E1" w:rsidP="00DA68D9">
      <w:pPr>
        <w:spacing w:after="0" w:line="240" w:lineRule="auto"/>
        <w:jc w:val="both"/>
        <w:rPr>
          <w:szCs w:val="24"/>
          <w:vertAlign w:val="superscript"/>
        </w:rPr>
      </w:pPr>
    </w:p>
    <w:p w:rsidR="00DA68D9" w:rsidRPr="008F3774" w:rsidRDefault="00DA68D9" w:rsidP="00DA68D9">
      <w:pPr>
        <w:spacing w:after="0" w:line="240" w:lineRule="auto"/>
        <w:jc w:val="both"/>
        <w:rPr>
          <w:bCs/>
          <w:szCs w:val="24"/>
        </w:rPr>
      </w:pPr>
    </w:p>
    <w:p w:rsidR="00DA68D9" w:rsidRPr="008F3774" w:rsidRDefault="00DA68D9" w:rsidP="00DA68D9">
      <w:pPr>
        <w:spacing w:after="0" w:line="240" w:lineRule="auto"/>
        <w:jc w:val="both"/>
        <w:rPr>
          <w:b/>
          <w:bCs/>
          <w:szCs w:val="24"/>
        </w:rPr>
      </w:pPr>
      <w:r w:rsidRPr="008F3774">
        <w:rPr>
          <w:b/>
          <w:bCs/>
          <w:szCs w:val="24"/>
        </w:rPr>
        <w:t>RESUMO</w:t>
      </w:r>
    </w:p>
    <w:p w:rsidR="00DA68D9" w:rsidRPr="008F3774" w:rsidRDefault="00DA68D9" w:rsidP="00DA68D9">
      <w:pPr>
        <w:spacing w:after="0" w:line="240" w:lineRule="auto"/>
        <w:jc w:val="both"/>
        <w:rPr>
          <w:b/>
          <w:bCs/>
          <w:szCs w:val="24"/>
        </w:rPr>
      </w:pPr>
    </w:p>
    <w:p w:rsidR="00DA68D9" w:rsidRPr="008F3774" w:rsidRDefault="00DA68D9" w:rsidP="00DA68D9">
      <w:pPr>
        <w:spacing w:after="0" w:line="240" w:lineRule="auto"/>
        <w:jc w:val="both"/>
        <w:rPr>
          <w:szCs w:val="24"/>
        </w:rPr>
      </w:pPr>
      <w:r w:rsidRPr="008F3774">
        <w:rPr>
          <w:bCs/>
          <w:szCs w:val="24"/>
        </w:rPr>
        <w:t>O objetivo do present</w:t>
      </w:r>
      <w:r w:rsidR="00624FD0">
        <w:rPr>
          <w:bCs/>
          <w:szCs w:val="24"/>
        </w:rPr>
        <w:t>e</w:t>
      </w:r>
      <w:r w:rsidRPr="008F3774">
        <w:rPr>
          <w:bCs/>
          <w:szCs w:val="24"/>
        </w:rPr>
        <w:t xml:space="preserve"> estudo </w:t>
      </w:r>
      <w:r w:rsidR="000F2732">
        <w:rPr>
          <w:bCs/>
          <w:szCs w:val="24"/>
        </w:rPr>
        <w:t>foi</w:t>
      </w:r>
      <w:r w:rsidRPr="008F3774">
        <w:rPr>
          <w:bCs/>
          <w:szCs w:val="24"/>
        </w:rPr>
        <w:t xml:space="preserve"> avaliar a influência da densidade de estocagem de alevinos (</w:t>
      </w:r>
      <w:r w:rsidRPr="008F3774">
        <w:rPr>
          <w:i/>
          <w:iCs/>
          <w:szCs w:val="24"/>
        </w:rPr>
        <w:t>Rhamdia quelen</w:t>
      </w:r>
      <w:r w:rsidRPr="008F3774">
        <w:rPr>
          <w:bCs/>
          <w:szCs w:val="24"/>
        </w:rPr>
        <w:t xml:space="preserve">) cultivado em tanques-rede. </w:t>
      </w:r>
      <w:r w:rsidRPr="008F3774">
        <w:rPr>
          <w:szCs w:val="24"/>
        </w:rPr>
        <w:t xml:space="preserve">19.500 alevinos, com peso médio de 4,69±1,60 g, e comprimento médio de 7,72±0,92 cm, </w:t>
      </w:r>
      <w:r w:rsidR="00A60E79">
        <w:rPr>
          <w:szCs w:val="24"/>
        </w:rPr>
        <w:t xml:space="preserve">foram </w:t>
      </w:r>
      <w:r w:rsidRPr="008F3774">
        <w:rPr>
          <w:szCs w:val="24"/>
        </w:rPr>
        <w:t xml:space="preserve">distribuídos em 20 berçários (3,25 m³), instalados dentro de tanques-rede de 6 m³. As densidades utilizadas foram de 100, 200, 300, 400 e 500 alevinos/m³. Os peixes foram alimentados com rações comerciais extrusadas </w:t>
      </w:r>
      <w:r w:rsidR="009B527D">
        <w:rPr>
          <w:szCs w:val="24"/>
        </w:rPr>
        <w:t>com</w:t>
      </w:r>
      <w:r w:rsidRPr="008F3774">
        <w:rPr>
          <w:szCs w:val="24"/>
        </w:rPr>
        <w:t xml:space="preserve"> 35% de proteína bruta e peletes de 2mm. O fornecimento de ração foi </w:t>
      </w:r>
      <w:r w:rsidRPr="008F3774">
        <w:rPr>
          <w:i/>
          <w:szCs w:val="24"/>
        </w:rPr>
        <w:t>ad libitum</w:t>
      </w:r>
      <w:r w:rsidRPr="008F3774">
        <w:rPr>
          <w:szCs w:val="24"/>
        </w:rPr>
        <w:t>, em cinco arraçoamentos diários (8</w:t>
      </w:r>
      <w:r w:rsidR="009B527D">
        <w:rPr>
          <w:szCs w:val="24"/>
        </w:rPr>
        <w:t>:00</w:t>
      </w:r>
      <w:r w:rsidRPr="008F3774">
        <w:rPr>
          <w:szCs w:val="24"/>
        </w:rPr>
        <w:t>; 10:30; 13:30; 15</w:t>
      </w:r>
      <w:r w:rsidR="009B527D">
        <w:rPr>
          <w:szCs w:val="24"/>
        </w:rPr>
        <w:t>:00</w:t>
      </w:r>
      <w:r w:rsidRPr="008F3774">
        <w:rPr>
          <w:szCs w:val="24"/>
        </w:rPr>
        <w:t xml:space="preserve"> e 17</w:t>
      </w:r>
      <w:r w:rsidR="009B527D">
        <w:rPr>
          <w:szCs w:val="24"/>
        </w:rPr>
        <w:t>:00</w:t>
      </w:r>
      <w:r w:rsidRPr="008F3774">
        <w:rPr>
          <w:szCs w:val="24"/>
        </w:rPr>
        <w:t xml:space="preserve"> horas). Não foi observado influência sobre o peso final, ganho de peso, sobrevivência, taxa de crescimento especifico e composição química da carcaça. Porém, a biomassa final, apresentou efeito linear com maiores valores para a densidade de 500 peixes/m³. Quanto a conversão alimentar aparente, os menores valores foram observados para a densidade de 500 peixes/m³. Pode-se utilizar a densidade de estocagem de 500 alevinos/m</w:t>
      </w:r>
      <w:r w:rsidRPr="008F3774">
        <w:rPr>
          <w:szCs w:val="24"/>
          <w:vertAlign w:val="superscript"/>
        </w:rPr>
        <w:t xml:space="preserve">3 </w:t>
      </w:r>
      <w:r w:rsidRPr="008F3774">
        <w:rPr>
          <w:szCs w:val="24"/>
        </w:rPr>
        <w:t xml:space="preserve">de tanque rede, sem prejuízo no desempenho produtivo dos peixes. </w:t>
      </w:r>
    </w:p>
    <w:p w:rsidR="00DA68D9" w:rsidRPr="008F3774" w:rsidRDefault="00DA68D9" w:rsidP="00DA68D9">
      <w:pPr>
        <w:spacing w:after="0" w:line="240" w:lineRule="auto"/>
        <w:jc w:val="both"/>
        <w:rPr>
          <w:szCs w:val="24"/>
        </w:rPr>
      </w:pPr>
    </w:p>
    <w:p w:rsidR="00DA68D9" w:rsidRPr="008F3774" w:rsidRDefault="00DA68D9" w:rsidP="00DA68D9">
      <w:pPr>
        <w:spacing w:after="0" w:line="240" w:lineRule="auto"/>
        <w:jc w:val="both"/>
        <w:rPr>
          <w:szCs w:val="24"/>
        </w:rPr>
      </w:pPr>
      <w:r w:rsidRPr="008F3774">
        <w:rPr>
          <w:b/>
          <w:szCs w:val="24"/>
        </w:rPr>
        <w:t xml:space="preserve">Palavras chaves: </w:t>
      </w:r>
      <w:r w:rsidRPr="008F3774">
        <w:rPr>
          <w:szCs w:val="24"/>
        </w:rPr>
        <w:t>Aquicultura intensiva</w:t>
      </w:r>
      <w:r w:rsidR="00A60E79">
        <w:rPr>
          <w:szCs w:val="24"/>
        </w:rPr>
        <w:t>; E</w:t>
      </w:r>
      <w:r w:rsidRPr="008F3774">
        <w:rPr>
          <w:szCs w:val="24"/>
        </w:rPr>
        <w:t>spécie nativas</w:t>
      </w:r>
      <w:r w:rsidR="00A60E79">
        <w:rPr>
          <w:szCs w:val="24"/>
        </w:rPr>
        <w:t>; D</w:t>
      </w:r>
      <w:r w:rsidRPr="008F3774">
        <w:rPr>
          <w:szCs w:val="24"/>
        </w:rPr>
        <w:t xml:space="preserve">esempenho produtivo. </w:t>
      </w:r>
    </w:p>
    <w:p w:rsidR="008F3774" w:rsidRPr="008F3774" w:rsidRDefault="008F3774" w:rsidP="006D7C8B">
      <w:pPr>
        <w:autoSpaceDE w:val="0"/>
        <w:autoSpaceDN w:val="0"/>
        <w:adjustRightInd w:val="0"/>
        <w:spacing w:after="0" w:line="240" w:lineRule="auto"/>
        <w:jc w:val="both"/>
        <w:rPr>
          <w:b/>
          <w:szCs w:val="24"/>
          <w:lang w:eastAsia="pt-BR"/>
        </w:rPr>
      </w:pPr>
    </w:p>
    <w:p w:rsidR="006D7C8B" w:rsidRPr="008F3774" w:rsidRDefault="006D7C8B" w:rsidP="008F3774">
      <w:pPr>
        <w:autoSpaceDE w:val="0"/>
        <w:autoSpaceDN w:val="0"/>
        <w:adjustRightInd w:val="0"/>
        <w:spacing w:after="0" w:line="240" w:lineRule="auto"/>
        <w:jc w:val="both"/>
        <w:rPr>
          <w:b/>
          <w:szCs w:val="24"/>
          <w:lang w:eastAsia="pt-BR"/>
        </w:rPr>
      </w:pPr>
      <w:r w:rsidRPr="008F3774">
        <w:rPr>
          <w:b/>
          <w:szCs w:val="24"/>
          <w:lang w:eastAsia="pt-BR"/>
        </w:rPr>
        <w:t>ABSTRAT</w:t>
      </w:r>
    </w:p>
    <w:p w:rsidR="008F3774" w:rsidRPr="008F3774" w:rsidRDefault="008F3774" w:rsidP="008F3774">
      <w:pPr>
        <w:autoSpaceDE w:val="0"/>
        <w:autoSpaceDN w:val="0"/>
        <w:adjustRightInd w:val="0"/>
        <w:spacing w:after="0" w:line="240" w:lineRule="auto"/>
        <w:jc w:val="both"/>
        <w:rPr>
          <w:b/>
          <w:szCs w:val="24"/>
          <w:lang w:eastAsia="pt-BR"/>
        </w:rPr>
      </w:pPr>
    </w:p>
    <w:p w:rsidR="008F3774" w:rsidRPr="008F3774" w:rsidRDefault="008F3774" w:rsidP="008F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pt-BR"/>
        </w:rPr>
      </w:pPr>
      <w:r w:rsidRPr="008F3774">
        <w:rPr>
          <w:rFonts w:eastAsia="Times New Roman"/>
          <w:szCs w:val="24"/>
          <w:lang w:val="en" w:eastAsia="pt-BR"/>
        </w:rPr>
        <w:t>The objective of the present study is to evaluate the influence of stocking density of fingerlings (</w:t>
      </w:r>
      <w:r w:rsidRPr="008F3774">
        <w:rPr>
          <w:rFonts w:eastAsia="Times New Roman"/>
          <w:i/>
          <w:szCs w:val="24"/>
          <w:lang w:val="en" w:eastAsia="pt-BR"/>
        </w:rPr>
        <w:t>Rhamdia quelen</w:t>
      </w:r>
      <w:r w:rsidRPr="008F3774">
        <w:rPr>
          <w:rFonts w:eastAsia="Times New Roman"/>
          <w:szCs w:val="24"/>
          <w:lang w:val="en" w:eastAsia="pt-BR"/>
        </w:rPr>
        <w:t xml:space="preserve">) grown in net tanks. 19,500 fingerlings were used, with an average weight of 4.69 ± 1.60 g and an average length of 7.72 ± 0.92 cm, </w:t>
      </w:r>
      <w:r w:rsidR="00A60E79">
        <w:rPr>
          <w:rFonts w:eastAsia="Times New Roman"/>
          <w:szCs w:val="24"/>
          <w:lang w:val="en" w:eastAsia="pt-BR"/>
        </w:rPr>
        <w:t xml:space="preserve">were </w:t>
      </w:r>
      <w:r w:rsidRPr="008F3774">
        <w:rPr>
          <w:rFonts w:eastAsia="Times New Roman"/>
          <w:szCs w:val="24"/>
          <w:lang w:val="en" w:eastAsia="pt-BR"/>
        </w:rPr>
        <w:t xml:space="preserve">distributed in 20 nurseries (3.25 m³), ​​installed inside tanks-net </w:t>
      </w:r>
      <w:r>
        <w:rPr>
          <w:rFonts w:eastAsia="Times New Roman"/>
          <w:szCs w:val="24"/>
          <w:lang w:val="en" w:eastAsia="pt-BR"/>
        </w:rPr>
        <w:t>o</w:t>
      </w:r>
      <w:r w:rsidRPr="008F3774">
        <w:rPr>
          <w:rFonts w:eastAsia="Times New Roman"/>
          <w:szCs w:val="24"/>
          <w:lang w:val="en" w:eastAsia="pt-BR"/>
        </w:rPr>
        <w:t xml:space="preserve">f 6 </w:t>
      </w:r>
      <w:r>
        <w:rPr>
          <w:rFonts w:eastAsia="Times New Roman"/>
          <w:szCs w:val="24"/>
          <w:lang w:val="en" w:eastAsia="pt-BR"/>
        </w:rPr>
        <w:t>m</w:t>
      </w:r>
      <w:r w:rsidRPr="008F3774">
        <w:rPr>
          <w:rFonts w:eastAsia="Times New Roman"/>
          <w:szCs w:val="24"/>
          <w:lang w:val="en" w:eastAsia="pt-BR"/>
        </w:rPr>
        <w:t>³. As densities using 100, 200, 300, 400 and</w:t>
      </w:r>
      <w:r>
        <w:rPr>
          <w:rFonts w:eastAsia="Times New Roman"/>
          <w:szCs w:val="24"/>
          <w:lang w:val="en" w:eastAsia="pt-BR"/>
        </w:rPr>
        <w:t xml:space="preserve"> 500 fingerlings/</w:t>
      </w:r>
      <w:r w:rsidRPr="008F3774">
        <w:rPr>
          <w:rFonts w:eastAsia="Times New Roman"/>
          <w:szCs w:val="24"/>
          <w:lang w:val="en" w:eastAsia="pt-BR"/>
        </w:rPr>
        <w:t>m³. The fish were fed commercial extruded feeds of 35% crude protein and 2mm pellets. The supply of ration for books in five daily rations (8, 10:30, 13:30, 15 and 17 hours). No influence was observed on the final weight, weight gain, survival, specific growth rate and chemical composition of the carcass. However, a final biomass presented linear effect with higher value</w:t>
      </w:r>
      <w:r>
        <w:rPr>
          <w:rFonts w:eastAsia="Times New Roman"/>
          <w:szCs w:val="24"/>
          <w:lang w:val="en" w:eastAsia="pt-BR"/>
        </w:rPr>
        <w:t>s ​​for the density of 500 fish</w:t>
      </w:r>
      <w:r w:rsidRPr="008F3774">
        <w:rPr>
          <w:rFonts w:eastAsia="Times New Roman"/>
          <w:szCs w:val="24"/>
          <w:lang w:val="en" w:eastAsia="pt-BR"/>
        </w:rPr>
        <w:t xml:space="preserve">/m³. Regarding the apparent feed conversion, the lowest values ​​were observed for the </w:t>
      </w:r>
      <w:r>
        <w:rPr>
          <w:rFonts w:eastAsia="Times New Roman"/>
          <w:szCs w:val="24"/>
          <w:lang w:val="en" w:eastAsia="pt-BR"/>
        </w:rPr>
        <w:t>density of 500 fish/</w:t>
      </w:r>
      <w:r w:rsidRPr="008F3774">
        <w:rPr>
          <w:rFonts w:eastAsia="Times New Roman"/>
          <w:szCs w:val="24"/>
          <w:lang w:val="en" w:eastAsia="pt-BR"/>
        </w:rPr>
        <w:t>m³. A stoc</w:t>
      </w:r>
      <w:r>
        <w:rPr>
          <w:rFonts w:eastAsia="Times New Roman"/>
          <w:szCs w:val="24"/>
          <w:lang w:val="en" w:eastAsia="pt-BR"/>
        </w:rPr>
        <w:t>king density of 500 fingerlings</w:t>
      </w:r>
      <w:r w:rsidRPr="008F3774">
        <w:rPr>
          <w:rFonts w:eastAsia="Times New Roman"/>
          <w:szCs w:val="24"/>
          <w:lang w:val="en" w:eastAsia="pt-BR"/>
        </w:rPr>
        <w:t>/m</w:t>
      </w:r>
      <w:r w:rsidRPr="008F3774">
        <w:rPr>
          <w:rFonts w:eastAsia="Times New Roman"/>
          <w:szCs w:val="24"/>
          <w:vertAlign w:val="superscript"/>
          <w:lang w:val="en" w:eastAsia="pt-BR"/>
        </w:rPr>
        <w:t>3</w:t>
      </w:r>
      <w:r w:rsidRPr="008F3774">
        <w:rPr>
          <w:rFonts w:eastAsia="Times New Roman"/>
          <w:szCs w:val="24"/>
          <w:lang w:val="en" w:eastAsia="pt-BR"/>
        </w:rPr>
        <w:t xml:space="preserve"> of the tank can be used, without prejudice to the productive performance of the fish.</w:t>
      </w:r>
    </w:p>
    <w:p w:rsidR="006D7C8B" w:rsidRPr="008F3774" w:rsidRDefault="006D7C8B" w:rsidP="008F3774">
      <w:pPr>
        <w:autoSpaceDE w:val="0"/>
        <w:autoSpaceDN w:val="0"/>
        <w:adjustRightInd w:val="0"/>
        <w:spacing w:after="0" w:line="240" w:lineRule="auto"/>
        <w:jc w:val="both"/>
        <w:rPr>
          <w:b/>
          <w:szCs w:val="24"/>
          <w:lang w:eastAsia="pt-BR"/>
        </w:rPr>
      </w:pPr>
    </w:p>
    <w:p w:rsidR="008F3774" w:rsidRPr="008F3774" w:rsidRDefault="006D7C8B" w:rsidP="008F3774">
      <w:pPr>
        <w:pStyle w:val="Pr-formataoHTML"/>
        <w:shd w:val="clear" w:color="auto" w:fill="FFFFFF"/>
        <w:jc w:val="both"/>
        <w:rPr>
          <w:rFonts w:ascii="Times New Roman" w:hAnsi="Times New Roman" w:cs="Times New Roman"/>
          <w:sz w:val="24"/>
          <w:szCs w:val="24"/>
        </w:rPr>
      </w:pPr>
      <w:r w:rsidRPr="008F3774">
        <w:rPr>
          <w:rFonts w:ascii="Times New Roman" w:hAnsi="Times New Roman" w:cs="Times New Roman"/>
          <w:b/>
          <w:bCs/>
          <w:sz w:val="24"/>
          <w:szCs w:val="24"/>
        </w:rPr>
        <w:t>Key</w:t>
      </w:r>
      <w:r w:rsidR="00D73C82" w:rsidRPr="008F3774">
        <w:rPr>
          <w:rFonts w:ascii="Times New Roman" w:hAnsi="Times New Roman" w:cs="Times New Roman"/>
          <w:b/>
          <w:bCs/>
          <w:sz w:val="24"/>
          <w:szCs w:val="24"/>
        </w:rPr>
        <w:t xml:space="preserve"> </w:t>
      </w:r>
      <w:r w:rsidRPr="008F3774">
        <w:rPr>
          <w:rFonts w:ascii="Times New Roman" w:hAnsi="Times New Roman" w:cs="Times New Roman"/>
          <w:b/>
          <w:bCs/>
          <w:sz w:val="24"/>
          <w:szCs w:val="24"/>
        </w:rPr>
        <w:t>word</w:t>
      </w:r>
      <w:r w:rsidR="00D73C82" w:rsidRPr="008F3774">
        <w:rPr>
          <w:rFonts w:ascii="Times New Roman" w:hAnsi="Times New Roman" w:cs="Times New Roman"/>
          <w:b/>
          <w:bCs/>
          <w:sz w:val="24"/>
          <w:szCs w:val="24"/>
        </w:rPr>
        <w:t>s</w:t>
      </w:r>
      <w:r w:rsidRPr="008F3774">
        <w:rPr>
          <w:rFonts w:ascii="Times New Roman" w:hAnsi="Times New Roman" w:cs="Times New Roman"/>
          <w:b/>
          <w:bCs/>
          <w:sz w:val="24"/>
          <w:szCs w:val="24"/>
        </w:rPr>
        <w:t xml:space="preserve">: </w:t>
      </w:r>
      <w:r w:rsidR="008F3774" w:rsidRPr="008F3774">
        <w:rPr>
          <w:rFonts w:ascii="Times New Roman" w:hAnsi="Times New Roman" w:cs="Times New Roman"/>
          <w:sz w:val="24"/>
          <w:szCs w:val="24"/>
          <w:lang w:val="en"/>
        </w:rPr>
        <w:t>Intensive aquaculture</w:t>
      </w:r>
      <w:r w:rsidR="00A60E79">
        <w:rPr>
          <w:rFonts w:ascii="Times New Roman" w:hAnsi="Times New Roman" w:cs="Times New Roman"/>
          <w:sz w:val="24"/>
          <w:szCs w:val="24"/>
          <w:lang w:val="en"/>
        </w:rPr>
        <w:t>: N</w:t>
      </w:r>
      <w:r w:rsidR="008F3774" w:rsidRPr="008F3774">
        <w:rPr>
          <w:rFonts w:ascii="Times New Roman" w:hAnsi="Times New Roman" w:cs="Times New Roman"/>
          <w:sz w:val="24"/>
          <w:szCs w:val="24"/>
          <w:lang w:val="en"/>
        </w:rPr>
        <w:t>ative species</w:t>
      </w:r>
      <w:r w:rsidR="00A60E79">
        <w:rPr>
          <w:rFonts w:ascii="Times New Roman" w:hAnsi="Times New Roman" w:cs="Times New Roman"/>
          <w:sz w:val="24"/>
          <w:szCs w:val="24"/>
          <w:lang w:val="en"/>
        </w:rPr>
        <w:t>; P</w:t>
      </w:r>
      <w:r w:rsidR="008F3774" w:rsidRPr="008F3774">
        <w:rPr>
          <w:rFonts w:ascii="Times New Roman" w:hAnsi="Times New Roman" w:cs="Times New Roman"/>
          <w:sz w:val="24"/>
          <w:szCs w:val="24"/>
          <w:lang w:val="en"/>
        </w:rPr>
        <w:t>roductive performance.</w:t>
      </w:r>
    </w:p>
    <w:p w:rsidR="00C86FAA" w:rsidRPr="008F3774" w:rsidRDefault="00C86FAA" w:rsidP="008F3774">
      <w:pPr>
        <w:spacing w:after="0" w:line="240" w:lineRule="auto"/>
        <w:rPr>
          <w:szCs w:val="24"/>
        </w:rPr>
      </w:pPr>
    </w:p>
    <w:p w:rsidR="00C86FAA" w:rsidRPr="008F3774" w:rsidRDefault="00C86FAA" w:rsidP="00C86FAA">
      <w:pPr>
        <w:pStyle w:val="Ttulo1"/>
        <w:spacing w:before="0" w:after="0"/>
        <w:ind w:left="360"/>
        <w:rPr>
          <w:rFonts w:ascii="Times New Roman" w:hAnsi="Times New Roman" w:cs="Times New Roman"/>
          <w:sz w:val="24"/>
          <w:szCs w:val="24"/>
        </w:rPr>
      </w:pPr>
    </w:p>
    <w:p w:rsidR="00376441" w:rsidRPr="008F3774" w:rsidRDefault="00D73C82" w:rsidP="00353954">
      <w:pPr>
        <w:numPr>
          <w:ilvl w:val="0"/>
          <w:numId w:val="5"/>
        </w:numPr>
        <w:spacing w:after="0" w:line="240" w:lineRule="auto"/>
        <w:ind w:left="426" w:hanging="426"/>
        <w:rPr>
          <w:b/>
          <w:szCs w:val="24"/>
        </w:rPr>
      </w:pPr>
      <w:r w:rsidRPr="008F3774">
        <w:rPr>
          <w:b/>
          <w:szCs w:val="24"/>
        </w:rPr>
        <w:br w:type="page"/>
      </w:r>
      <w:r w:rsidR="0084602C" w:rsidRPr="008F3774">
        <w:rPr>
          <w:b/>
          <w:szCs w:val="24"/>
        </w:rPr>
        <w:lastRenderedPageBreak/>
        <w:t>INTRODUÇÃO</w:t>
      </w:r>
    </w:p>
    <w:p w:rsidR="00C86FAA" w:rsidRPr="008F3774" w:rsidRDefault="00C86FAA" w:rsidP="00D66241">
      <w:pPr>
        <w:tabs>
          <w:tab w:val="left" w:pos="4140"/>
        </w:tabs>
        <w:spacing w:after="0" w:line="240" w:lineRule="auto"/>
        <w:ind w:firstLine="539"/>
        <w:jc w:val="both"/>
        <w:rPr>
          <w:color w:val="000000"/>
          <w:szCs w:val="24"/>
        </w:rPr>
      </w:pPr>
    </w:p>
    <w:p w:rsidR="00DA68D9" w:rsidRPr="008F3774" w:rsidRDefault="00DA68D9" w:rsidP="00DA68D9">
      <w:pPr>
        <w:widowControl w:val="0"/>
        <w:overflowPunct w:val="0"/>
        <w:autoSpaceDE w:val="0"/>
        <w:autoSpaceDN w:val="0"/>
        <w:adjustRightInd w:val="0"/>
        <w:spacing w:after="0" w:line="240" w:lineRule="auto"/>
        <w:ind w:firstLine="851"/>
        <w:jc w:val="both"/>
        <w:rPr>
          <w:szCs w:val="24"/>
        </w:rPr>
      </w:pPr>
      <w:r w:rsidRPr="008F3774">
        <w:rPr>
          <w:szCs w:val="24"/>
        </w:rPr>
        <w:t>Inúmeras são as vantagens de cultivo de espécies de peixes nativos quando comparadas às exóticas, pois, estas se encontram adaptadas ao clima, alimentando-se em temperaturas mais baixas (ZANIBONI-FILHO, 2000). Dentre as espécies nativas, na região sul do Brasil merece destaque, o</w:t>
      </w:r>
      <w:bookmarkStart w:id="1" w:name="page39"/>
      <w:bookmarkEnd w:id="1"/>
      <w:r w:rsidRPr="008F3774">
        <w:rPr>
          <w:szCs w:val="24"/>
        </w:rPr>
        <w:t xml:space="preserve"> jundiá </w:t>
      </w:r>
      <w:r w:rsidRPr="008F3774">
        <w:rPr>
          <w:i/>
          <w:iCs/>
          <w:szCs w:val="24"/>
        </w:rPr>
        <w:t>Rhamdia quelen</w:t>
      </w:r>
      <w:r w:rsidRPr="008F3774">
        <w:rPr>
          <w:szCs w:val="24"/>
        </w:rPr>
        <w:t>, pertencente à ordem Siluriformes, família Hepteridae (</w:t>
      </w:r>
      <w:r w:rsidR="009B527D" w:rsidRPr="008F3774">
        <w:rPr>
          <w:szCs w:val="24"/>
        </w:rPr>
        <w:t xml:space="preserve">BOCKMANN </w:t>
      </w:r>
      <w:r w:rsidRPr="008F3774">
        <w:rPr>
          <w:szCs w:val="24"/>
        </w:rPr>
        <w:t xml:space="preserve">e </w:t>
      </w:r>
      <w:r w:rsidR="009B527D" w:rsidRPr="008F3774">
        <w:rPr>
          <w:szCs w:val="24"/>
        </w:rPr>
        <w:t>GUAZZELLI</w:t>
      </w:r>
      <w:r w:rsidRPr="008F3774">
        <w:rPr>
          <w:szCs w:val="24"/>
        </w:rPr>
        <w:t xml:space="preserve">, 2003) e gênero </w:t>
      </w:r>
      <w:r w:rsidRPr="008F3774">
        <w:rPr>
          <w:i/>
          <w:iCs/>
          <w:szCs w:val="24"/>
        </w:rPr>
        <w:t>Rhamdia</w:t>
      </w:r>
      <w:r w:rsidRPr="008F3774">
        <w:rPr>
          <w:szCs w:val="24"/>
        </w:rPr>
        <w:t>, formado por 11 espécies, incluindo a espécie objeto de estudo, que se distribui do México à Argentina (</w:t>
      </w:r>
      <w:r w:rsidR="009B527D" w:rsidRPr="008F3774">
        <w:rPr>
          <w:szCs w:val="24"/>
        </w:rPr>
        <w:t>SILFVERGRIP</w:t>
      </w:r>
      <w:r w:rsidRPr="008F3774">
        <w:rPr>
          <w:szCs w:val="24"/>
        </w:rPr>
        <w:t>, 1996).</w:t>
      </w:r>
    </w:p>
    <w:p w:rsidR="00DA68D9" w:rsidRPr="008F3774" w:rsidRDefault="00DA68D9" w:rsidP="00DA68D9">
      <w:pPr>
        <w:widowControl w:val="0"/>
        <w:overflowPunct w:val="0"/>
        <w:autoSpaceDE w:val="0"/>
        <w:autoSpaceDN w:val="0"/>
        <w:adjustRightInd w:val="0"/>
        <w:spacing w:after="0" w:line="240" w:lineRule="auto"/>
        <w:ind w:firstLine="851"/>
        <w:jc w:val="both"/>
        <w:rPr>
          <w:szCs w:val="24"/>
        </w:rPr>
      </w:pPr>
      <w:r w:rsidRPr="008F3774">
        <w:rPr>
          <w:szCs w:val="24"/>
        </w:rPr>
        <w:t xml:space="preserve">O jundiá, </w:t>
      </w:r>
      <w:r w:rsidRPr="008F3774">
        <w:rPr>
          <w:i/>
          <w:iCs/>
          <w:szCs w:val="24"/>
        </w:rPr>
        <w:t>R. quelen</w:t>
      </w:r>
      <w:r w:rsidRPr="008F3774">
        <w:rPr>
          <w:szCs w:val="24"/>
        </w:rPr>
        <w:t xml:space="preserve"> apresenta desenvolvimento rápido e rusticidade adaptando-se facilmente ao manejo, docilidade, crescimento acelerado inclusive nos meses mais frios, sendo que seu conforto térmico está entre 18 e 28ºC (FRACALOSSI </w:t>
      </w:r>
      <w:r w:rsidRPr="008F3774">
        <w:rPr>
          <w:iCs/>
          <w:szCs w:val="24"/>
        </w:rPr>
        <w:t>et al.</w:t>
      </w:r>
      <w:r w:rsidRPr="008F3774">
        <w:rPr>
          <w:szCs w:val="24"/>
        </w:rPr>
        <w:t xml:space="preserve">, 2002). Piedras </w:t>
      </w:r>
      <w:r w:rsidRPr="008F3774">
        <w:rPr>
          <w:iCs/>
          <w:szCs w:val="24"/>
        </w:rPr>
        <w:t>et al</w:t>
      </w:r>
      <w:r w:rsidRPr="008F3774">
        <w:rPr>
          <w:i/>
          <w:iCs/>
          <w:szCs w:val="24"/>
        </w:rPr>
        <w:t>.</w:t>
      </w:r>
      <w:r w:rsidRPr="008F3774">
        <w:rPr>
          <w:szCs w:val="24"/>
        </w:rPr>
        <w:t xml:space="preserve"> (2004) avaliaram o crescimento de juvenis de jundiá </w:t>
      </w:r>
      <w:r w:rsidRPr="008F3774">
        <w:rPr>
          <w:i/>
          <w:iCs/>
          <w:szCs w:val="24"/>
        </w:rPr>
        <w:t>R. quelen</w:t>
      </w:r>
      <w:r w:rsidRPr="008F3774">
        <w:rPr>
          <w:szCs w:val="24"/>
        </w:rPr>
        <w:t>, cultivados em diferentes temperaturas (20, 23 e 26ºC), durante 33 dias e observaram que o melhor desempenho foi atingido a temperatura média de 23,7ºC.</w:t>
      </w:r>
    </w:p>
    <w:p w:rsidR="00DA68D9" w:rsidRPr="008F3774" w:rsidRDefault="00DA68D9" w:rsidP="00DA68D9">
      <w:pPr>
        <w:widowControl w:val="0"/>
        <w:overflowPunct w:val="0"/>
        <w:autoSpaceDE w:val="0"/>
        <w:autoSpaceDN w:val="0"/>
        <w:adjustRightInd w:val="0"/>
        <w:spacing w:after="0" w:line="240" w:lineRule="auto"/>
        <w:ind w:firstLine="851"/>
        <w:jc w:val="both"/>
        <w:rPr>
          <w:szCs w:val="24"/>
        </w:rPr>
      </w:pPr>
      <w:r w:rsidRPr="008F3774">
        <w:rPr>
          <w:szCs w:val="24"/>
        </w:rPr>
        <w:t xml:space="preserve">Na fase de alevinagem, dependendo da densidade de estocagem, os peixes atingem aproximadamente 5,0 cm de comprimento padrão em 30 dias no cultivo. Seu crescimento pode ser significativamente maior quando mantidos na escuridão se comparados aos expostos continuamente à luz ou ao fotoperíodo normal (PIAIA </w:t>
      </w:r>
      <w:r w:rsidRPr="008F3774">
        <w:rPr>
          <w:iCs/>
          <w:szCs w:val="24"/>
        </w:rPr>
        <w:t>et al.,</w:t>
      </w:r>
      <w:r w:rsidRPr="008F3774">
        <w:rPr>
          <w:szCs w:val="24"/>
        </w:rPr>
        <w:t xml:space="preserve"> 1999). A densidade a ser utilizada depende da espécie a ser criada, das condições de cultivo, do tipo de alimentação, do manejo adotado e do tamanho dos peixes, entre outros fatores (LUZ e ZANIBONI FILHO, 2002). Por esses motivos, tem sido difícil estabelecer a densidade ideal para o cultivo das diferentes espécies de peixes brasileiros. </w:t>
      </w:r>
    </w:p>
    <w:p w:rsidR="00DA68D9" w:rsidRPr="008F3774" w:rsidRDefault="00DA68D9" w:rsidP="00DA68D9">
      <w:pPr>
        <w:pStyle w:val="Pargrafopadro"/>
        <w:spacing w:line="240" w:lineRule="auto"/>
        <w:ind w:firstLine="851"/>
        <w:rPr>
          <w:szCs w:val="24"/>
        </w:rPr>
      </w:pPr>
      <w:r w:rsidRPr="008F3774">
        <w:rPr>
          <w:szCs w:val="24"/>
        </w:rPr>
        <w:t>Segundo Brandão et al. (2004), o primeiro passo para o desenvolvimento de um pacote de produção para uma espécie de peixe, é a determinação da densidade de estocagem ideal, na qual os níveis ótimos de produtividade por área podem ser atingidos. Pois tem efeito na sobrevivência e no crescimento, sendo uma possível causa de fracasso na produção final dos animais (JOBLING, 1994). Porém, a determinação da densidade de estocagem e o correto manejo alimentar para as diferentes espécies de peixes é fundamental para a obtenção de produção eficiente, pois a necessidade nutricional é diretamente influenciada pela disponibilidade alimentar (SALARO et al., 2008).</w:t>
      </w:r>
    </w:p>
    <w:p w:rsidR="00DA68D9" w:rsidRPr="008F3774" w:rsidRDefault="00DA68D9" w:rsidP="00DA68D9">
      <w:pPr>
        <w:widowControl w:val="0"/>
        <w:suppressLineNumbers/>
        <w:autoSpaceDE w:val="0"/>
        <w:autoSpaceDN w:val="0"/>
        <w:adjustRightInd w:val="0"/>
        <w:spacing w:after="0" w:line="240" w:lineRule="auto"/>
        <w:ind w:firstLine="851"/>
        <w:jc w:val="both"/>
        <w:rPr>
          <w:bCs/>
          <w:color w:val="FF0000"/>
          <w:szCs w:val="24"/>
        </w:rPr>
      </w:pPr>
      <w:r w:rsidRPr="008F3774">
        <w:rPr>
          <w:bCs/>
          <w:szCs w:val="24"/>
        </w:rPr>
        <w:t xml:space="preserve">O objetivo do presento estudo é avaliar a influência da densidade de estocagem (alevinos), </w:t>
      </w:r>
      <w:r w:rsidRPr="008F3774">
        <w:rPr>
          <w:i/>
          <w:iCs/>
          <w:szCs w:val="24"/>
        </w:rPr>
        <w:t>Rhamdia quelen</w:t>
      </w:r>
      <w:r w:rsidRPr="008F3774">
        <w:rPr>
          <w:bCs/>
          <w:szCs w:val="24"/>
        </w:rPr>
        <w:t xml:space="preserve"> cultivado</w:t>
      </w:r>
      <w:r w:rsidR="009B527D">
        <w:rPr>
          <w:bCs/>
          <w:szCs w:val="24"/>
        </w:rPr>
        <w:t>s</w:t>
      </w:r>
      <w:r w:rsidRPr="008F3774">
        <w:rPr>
          <w:bCs/>
          <w:szCs w:val="24"/>
        </w:rPr>
        <w:t xml:space="preserve"> em tanques-rede, sobre o desempenho produtivo e composição química.</w:t>
      </w:r>
    </w:p>
    <w:p w:rsidR="00DA68D9" w:rsidRPr="008F3774" w:rsidRDefault="00DA68D9" w:rsidP="00D66241">
      <w:pPr>
        <w:pStyle w:val="Ttulo1"/>
        <w:spacing w:before="0" w:after="0"/>
        <w:jc w:val="both"/>
        <w:rPr>
          <w:rFonts w:ascii="Times New Roman" w:hAnsi="Times New Roman" w:cs="Times New Roman"/>
          <w:sz w:val="24"/>
          <w:szCs w:val="24"/>
        </w:rPr>
      </w:pPr>
    </w:p>
    <w:p w:rsidR="00376441" w:rsidRPr="008F3774" w:rsidRDefault="0084602C" w:rsidP="00D66241">
      <w:pPr>
        <w:pStyle w:val="Ttulo1"/>
        <w:spacing w:before="0" w:after="0"/>
        <w:jc w:val="both"/>
        <w:rPr>
          <w:rFonts w:ascii="Times New Roman" w:hAnsi="Times New Roman" w:cs="Times New Roman"/>
          <w:sz w:val="24"/>
          <w:szCs w:val="24"/>
        </w:rPr>
      </w:pPr>
      <w:r w:rsidRPr="008F3774">
        <w:rPr>
          <w:rFonts w:ascii="Times New Roman" w:hAnsi="Times New Roman" w:cs="Times New Roman"/>
          <w:sz w:val="24"/>
          <w:szCs w:val="24"/>
        </w:rPr>
        <w:t>2- MATERIAL E MÉTODOS</w:t>
      </w:r>
    </w:p>
    <w:p w:rsidR="00376441" w:rsidRPr="008F3774" w:rsidRDefault="00376441" w:rsidP="00D66241">
      <w:pPr>
        <w:pStyle w:val="Ttulo1"/>
        <w:spacing w:before="0" w:after="0"/>
        <w:jc w:val="both"/>
        <w:rPr>
          <w:rFonts w:ascii="Times New Roman" w:hAnsi="Times New Roman" w:cs="Times New Roman"/>
          <w:caps/>
          <w:sz w:val="24"/>
          <w:szCs w:val="24"/>
        </w:rPr>
      </w:pPr>
    </w:p>
    <w:p w:rsidR="00DA68D9" w:rsidRPr="008F3774" w:rsidRDefault="00DA68D9" w:rsidP="00DA68D9">
      <w:pPr>
        <w:autoSpaceDE w:val="0"/>
        <w:autoSpaceDN w:val="0"/>
        <w:adjustRightInd w:val="0"/>
        <w:spacing w:after="0" w:line="240" w:lineRule="auto"/>
        <w:ind w:firstLine="708"/>
        <w:jc w:val="both"/>
        <w:rPr>
          <w:rFonts w:eastAsiaTheme="minorHAnsi"/>
          <w:szCs w:val="24"/>
        </w:rPr>
      </w:pPr>
      <w:r w:rsidRPr="008F3774">
        <w:rPr>
          <w:szCs w:val="24"/>
        </w:rPr>
        <w:t xml:space="preserve">O estudo foi desenvolvido na </w:t>
      </w:r>
      <w:r w:rsidRPr="008F3774">
        <w:rPr>
          <w:color w:val="222222"/>
          <w:szCs w:val="24"/>
          <w:shd w:val="clear" w:color="auto" w:fill="FFFFFF"/>
        </w:rPr>
        <w:t>Estação de Pesquisa em Piscicultura e Ecologia de Espécies Nativas</w:t>
      </w:r>
      <w:r w:rsidRPr="008F3774">
        <w:rPr>
          <w:szCs w:val="24"/>
          <w:lang w:val="pt-PT"/>
        </w:rPr>
        <w:t>, no Reservatório de Itaipu Binacional</w:t>
      </w:r>
      <w:r w:rsidRPr="008F3774">
        <w:rPr>
          <w:szCs w:val="24"/>
        </w:rPr>
        <w:t xml:space="preserve">, Foz do Iguaçu/Paraná, por um período de 49 dias (27/01 a 16/03/15). Todo o procedimento experimental foi avaliado e aprovado pelo Comitê de Ética no Uso de Animais da Universidade Estadual do Oeste do Paraná, conforme certificado </w:t>
      </w:r>
      <w:r w:rsidRPr="008F3774">
        <w:rPr>
          <w:rFonts w:eastAsiaTheme="minorHAnsi"/>
          <w:szCs w:val="24"/>
        </w:rPr>
        <w:t>de Apresentação para Apreciação Ética nº 006973/2009</w:t>
      </w:r>
      <w:r w:rsidRPr="008F3774">
        <w:rPr>
          <w:rFonts w:eastAsia="MS Gothic"/>
          <w:szCs w:val="24"/>
        </w:rPr>
        <w:t>‑</w:t>
      </w:r>
      <w:r w:rsidRPr="008F3774">
        <w:rPr>
          <w:rFonts w:eastAsiaTheme="minorHAnsi"/>
          <w:szCs w:val="24"/>
        </w:rPr>
        <w:t>41.</w:t>
      </w:r>
    </w:p>
    <w:p w:rsidR="00DA68D9" w:rsidRPr="008F3774" w:rsidRDefault="00DA68D9" w:rsidP="00DA68D9">
      <w:pPr>
        <w:spacing w:after="0" w:line="240" w:lineRule="auto"/>
        <w:ind w:firstLine="851"/>
        <w:jc w:val="both"/>
        <w:rPr>
          <w:szCs w:val="24"/>
        </w:rPr>
      </w:pPr>
      <w:r w:rsidRPr="008F3774">
        <w:rPr>
          <w:szCs w:val="24"/>
        </w:rPr>
        <w:t xml:space="preserve">Em função da fase de crescimento dos peixes, foram instalados berçários de 3,25 m³ com malha de 5mm, um em cada tanque-rede de 6 m³. Foram utilizados 19.500 alevinos com peso médio de 4,69±1,60 g, e comprimento médio de 7,72±0,92 cm. As densidades utilizadas foram de 100, 200, 300, 400 e 500 peixes/m³. Os jundiás provenientes de uma piscicultura comercial de viveiros escavados da cidade de Foz do Iguaçu, chegaram a estação de pesquisa, foram aclimatados durante </w:t>
      </w:r>
      <w:r w:rsidR="009B527D">
        <w:rPr>
          <w:szCs w:val="24"/>
        </w:rPr>
        <w:t>30 minutos</w:t>
      </w:r>
      <w:r w:rsidRPr="008F3774">
        <w:rPr>
          <w:szCs w:val="24"/>
        </w:rPr>
        <w:t xml:space="preserve">, com troca da água da caixa de transporte com água do reservatório, posteriormente classificados, contados e distribuídos nos berçários nas respectivas densidades. </w:t>
      </w:r>
    </w:p>
    <w:p w:rsidR="00DA68D9" w:rsidRPr="008F3774" w:rsidRDefault="00DA68D9" w:rsidP="00DA68D9">
      <w:pPr>
        <w:spacing w:after="0" w:line="240" w:lineRule="auto"/>
        <w:ind w:firstLine="851"/>
        <w:jc w:val="both"/>
        <w:rPr>
          <w:szCs w:val="24"/>
        </w:rPr>
      </w:pPr>
      <w:r w:rsidRPr="008F3774">
        <w:rPr>
          <w:szCs w:val="24"/>
        </w:rPr>
        <w:t xml:space="preserve">Os peixes foram alimentados com rações comerciais extrusadas com 35% de proteína bruta e peletes de 2mm. O fornecimento de ração foi </w:t>
      </w:r>
      <w:r w:rsidRPr="008F3774">
        <w:rPr>
          <w:i/>
          <w:szCs w:val="24"/>
        </w:rPr>
        <w:t>ad libitum</w:t>
      </w:r>
      <w:r w:rsidRPr="008F3774">
        <w:rPr>
          <w:szCs w:val="24"/>
        </w:rPr>
        <w:t>, em cinco arraçoamentos diários (8</w:t>
      </w:r>
      <w:r w:rsidR="009B527D">
        <w:rPr>
          <w:szCs w:val="24"/>
        </w:rPr>
        <w:t>:00</w:t>
      </w:r>
      <w:r w:rsidRPr="008F3774">
        <w:rPr>
          <w:szCs w:val="24"/>
        </w:rPr>
        <w:t>; 10:30; 13:30; 15</w:t>
      </w:r>
      <w:r w:rsidR="009B527D">
        <w:rPr>
          <w:szCs w:val="24"/>
        </w:rPr>
        <w:t>:00</w:t>
      </w:r>
      <w:r w:rsidRPr="008F3774">
        <w:rPr>
          <w:szCs w:val="24"/>
        </w:rPr>
        <w:t xml:space="preserve"> e 17</w:t>
      </w:r>
      <w:r w:rsidR="009B527D">
        <w:rPr>
          <w:szCs w:val="24"/>
        </w:rPr>
        <w:t>:00</w:t>
      </w:r>
      <w:r w:rsidRPr="008F3774">
        <w:rPr>
          <w:szCs w:val="24"/>
        </w:rPr>
        <w:t xml:space="preserve"> horas).</w:t>
      </w:r>
    </w:p>
    <w:p w:rsidR="00DA68D9" w:rsidRPr="008F3774" w:rsidRDefault="00DA68D9" w:rsidP="00DA68D9">
      <w:pPr>
        <w:spacing w:after="0" w:line="240" w:lineRule="auto"/>
        <w:ind w:firstLine="851"/>
        <w:jc w:val="both"/>
        <w:rPr>
          <w:szCs w:val="24"/>
        </w:rPr>
      </w:pPr>
      <w:r w:rsidRPr="008F3774">
        <w:rPr>
          <w:szCs w:val="24"/>
        </w:rPr>
        <w:t xml:space="preserve">Os parâmetros de qualidade de água tais como pH, oxigênio dissolvido </w:t>
      </w:r>
      <w:r w:rsidRPr="008F3774">
        <w:rPr>
          <w:color w:val="000000" w:themeColor="text1"/>
          <w:szCs w:val="24"/>
        </w:rPr>
        <w:t>(mg</w:t>
      </w:r>
      <w:r w:rsidR="009B527D">
        <w:rPr>
          <w:color w:val="000000" w:themeColor="text1"/>
          <w:szCs w:val="24"/>
        </w:rPr>
        <w:t>.</w:t>
      </w:r>
      <w:r w:rsidRPr="008F3774">
        <w:rPr>
          <w:color w:val="000000" w:themeColor="text1"/>
          <w:szCs w:val="24"/>
        </w:rPr>
        <w:t>L)</w:t>
      </w:r>
      <w:r w:rsidRPr="008F3774">
        <w:rPr>
          <w:szCs w:val="24"/>
        </w:rPr>
        <w:t xml:space="preserve">, temperatura </w:t>
      </w:r>
      <w:r w:rsidRPr="008F3774">
        <w:rPr>
          <w:color w:val="000000" w:themeColor="text1"/>
          <w:szCs w:val="24"/>
        </w:rPr>
        <w:t>(</w:t>
      </w:r>
      <w:r w:rsidRPr="008F3774">
        <w:rPr>
          <w:color w:val="000000" w:themeColor="text1"/>
          <w:szCs w:val="24"/>
          <w:vertAlign w:val="superscript"/>
        </w:rPr>
        <w:t>o</w:t>
      </w:r>
      <w:r w:rsidRPr="008F3774">
        <w:rPr>
          <w:color w:val="000000" w:themeColor="text1"/>
          <w:szCs w:val="24"/>
        </w:rPr>
        <w:t xml:space="preserve">C) </w:t>
      </w:r>
      <w:r w:rsidRPr="008F3774">
        <w:rPr>
          <w:szCs w:val="24"/>
        </w:rPr>
        <w:t xml:space="preserve">foram monitorados diariamente através de equipamentos portáteis Hanna YSI. </w:t>
      </w:r>
    </w:p>
    <w:p w:rsidR="00DA68D9" w:rsidRPr="008F3774" w:rsidRDefault="00DA68D9" w:rsidP="009B527D">
      <w:pPr>
        <w:spacing w:after="0" w:line="240" w:lineRule="auto"/>
        <w:ind w:firstLine="851"/>
        <w:jc w:val="both"/>
        <w:rPr>
          <w:szCs w:val="24"/>
        </w:rPr>
      </w:pPr>
      <w:r w:rsidRPr="008F3774">
        <w:rPr>
          <w:b/>
          <w:szCs w:val="24"/>
        </w:rPr>
        <w:t xml:space="preserve"> </w:t>
      </w:r>
      <w:r w:rsidRPr="008F3774">
        <w:rPr>
          <w:szCs w:val="24"/>
        </w:rPr>
        <w:t xml:space="preserve">Ao término do experimento os peixes permaneceram 12 horas sem alimentação para esvaziamento do trato digestivo, posteriormente foram contados e pesados individualmente para </w:t>
      </w:r>
      <w:r w:rsidRPr="008F3774">
        <w:rPr>
          <w:szCs w:val="24"/>
        </w:rPr>
        <w:lastRenderedPageBreak/>
        <w:t>calcular os parâmetros de desempenho produtivo de: peso final, ganho de peso, sobrevivência, taxa de crescimento especifico</w:t>
      </w:r>
      <w:r w:rsidR="009B527D">
        <w:rPr>
          <w:szCs w:val="24"/>
        </w:rPr>
        <w:t xml:space="preserve"> e conversão alimentar aparente.</w:t>
      </w:r>
    </w:p>
    <w:p w:rsidR="00DA68D9" w:rsidRPr="008F3774" w:rsidRDefault="00DA68D9" w:rsidP="00DA68D9">
      <w:pPr>
        <w:spacing w:after="0" w:line="240" w:lineRule="auto"/>
        <w:ind w:firstLine="851"/>
        <w:jc w:val="both"/>
        <w:rPr>
          <w:rFonts w:eastAsia="Arial Unicode MS"/>
          <w:szCs w:val="24"/>
        </w:rPr>
      </w:pPr>
      <w:r w:rsidRPr="008F3774">
        <w:rPr>
          <w:szCs w:val="24"/>
        </w:rPr>
        <w:t xml:space="preserve">Para análises de composição química da carcaça foram separados </w:t>
      </w:r>
      <w:r w:rsidRPr="008F3774">
        <w:rPr>
          <w:rFonts w:eastAsia="Arial Unicode MS"/>
          <w:szCs w:val="24"/>
        </w:rPr>
        <w:t>10 peixes de cada tanque-rede, os quais foram</w:t>
      </w:r>
      <w:r w:rsidRPr="008F3774">
        <w:rPr>
          <w:szCs w:val="24"/>
        </w:rPr>
        <w:t xml:space="preserve"> eutanásiados utilizando 250 mg/L de benzocaína (GOMES et al., 2001), e posteriormente </w:t>
      </w:r>
      <w:r w:rsidRPr="008F3774">
        <w:rPr>
          <w:rFonts w:eastAsia="Arial Unicode MS"/>
          <w:szCs w:val="24"/>
        </w:rPr>
        <w:t xml:space="preserve">armazenados em freezer (-6ºC) para análises </w:t>
      </w:r>
      <w:r w:rsidRPr="008F3774">
        <w:rPr>
          <w:szCs w:val="24"/>
        </w:rPr>
        <w:t xml:space="preserve">bromatológicas de </w:t>
      </w:r>
      <w:r w:rsidRPr="008F3774">
        <w:rPr>
          <w:rFonts w:eastAsia="Arial Unicode MS"/>
          <w:szCs w:val="24"/>
        </w:rPr>
        <w:t xml:space="preserve">umidade </w:t>
      </w:r>
      <w:r w:rsidRPr="008F3774">
        <w:rPr>
          <w:szCs w:val="24"/>
        </w:rPr>
        <w:t>(55ºC por 72 horas), matéria seca (105ºC por 12 horas), proteína (Kjedhal), extrato etéreo (Soxhret com solvente de éter de petróleo),</w:t>
      </w:r>
      <w:r w:rsidRPr="008F3774">
        <w:rPr>
          <w:rFonts w:eastAsia="Arial Unicode MS"/>
          <w:szCs w:val="24"/>
        </w:rPr>
        <w:t xml:space="preserve"> seguindo a metodologia proposta pela AOAC (2005).</w:t>
      </w:r>
    </w:p>
    <w:p w:rsidR="00DA68D9" w:rsidRPr="008F3774" w:rsidRDefault="00DA68D9" w:rsidP="00DA68D9">
      <w:pPr>
        <w:spacing w:after="0" w:line="240" w:lineRule="auto"/>
        <w:ind w:firstLine="851"/>
        <w:jc w:val="both"/>
        <w:rPr>
          <w:szCs w:val="24"/>
        </w:rPr>
      </w:pPr>
      <w:r w:rsidRPr="008F3774">
        <w:rPr>
          <w:szCs w:val="24"/>
        </w:rPr>
        <w:t>Todos os dados foram submetidos à análise de variância a 5% de significância e, quando evidenciado efeito significativo, será aplicada a análise de variância (ANOVA), individualmente, para cada variável-resposta a 5% de significância. Sendo checado os pressupostos de normalidade pelo Shapiro Wilk e homogeneidade Leveni. Para a operacionalização dos dados será utilizado o programa computacional Statistica 7</w:t>
      </w:r>
      <w:r w:rsidRPr="008F3774">
        <w:rPr>
          <w:szCs w:val="24"/>
          <w:vertAlign w:val="superscript"/>
        </w:rPr>
        <w:t>®</w:t>
      </w:r>
      <w:r w:rsidRPr="008F3774">
        <w:rPr>
          <w:szCs w:val="24"/>
        </w:rPr>
        <w:t>.</w:t>
      </w:r>
    </w:p>
    <w:p w:rsidR="00D66241" w:rsidRPr="008F3774" w:rsidRDefault="00D66241" w:rsidP="00D66241">
      <w:pPr>
        <w:spacing w:after="0" w:line="240" w:lineRule="auto"/>
        <w:ind w:firstLine="539"/>
        <w:jc w:val="both"/>
        <w:rPr>
          <w:color w:val="000000"/>
          <w:szCs w:val="24"/>
        </w:rPr>
      </w:pPr>
    </w:p>
    <w:p w:rsidR="00376441" w:rsidRPr="008F3774" w:rsidRDefault="0084602C" w:rsidP="00D66241">
      <w:pPr>
        <w:pStyle w:val="Ttulo1"/>
        <w:spacing w:before="0" w:after="0"/>
        <w:jc w:val="both"/>
        <w:rPr>
          <w:rFonts w:ascii="Times New Roman" w:hAnsi="Times New Roman" w:cs="Times New Roman"/>
          <w:sz w:val="24"/>
          <w:szCs w:val="24"/>
        </w:rPr>
      </w:pPr>
      <w:r w:rsidRPr="008F3774">
        <w:rPr>
          <w:rFonts w:ascii="Times New Roman" w:hAnsi="Times New Roman" w:cs="Times New Roman"/>
          <w:sz w:val="24"/>
          <w:szCs w:val="24"/>
        </w:rPr>
        <w:t>3- RESULTADOS E DISCUSSÃO</w:t>
      </w:r>
    </w:p>
    <w:p w:rsidR="00C86FAA" w:rsidRPr="008F3774" w:rsidRDefault="00C86FAA" w:rsidP="00D66241">
      <w:pPr>
        <w:spacing w:after="0" w:line="240" w:lineRule="auto"/>
        <w:ind w:firstLine="539"/>
        <w:jc w:val="both"/>
        <w:rPr>
          <w:color w:val="000000"/>
          <w:szCs w:val="24"/>
        </w:rPr>
      </w:pPr>
    </w:p>
    <w:p w:rsidR="00DA68D9" w:rsidRPr="008F3774" w:rsidRDefault="00DA68D9" w:rsidP="00DA68D9">
      <w:pPr>
        <w:spacing w:after="0" w:line="240" w:lineRule="auto"/>
        <w:ind w:firstLine="708"/>
        <w:jc w:val="both"/>
        <w:rPr>
          <w:szCs w:val="24"/>
        </w:rPr>
      </w:pPr>
      <w:r w:rsidRPr="008F3774">
        <w:rPr>
          <w:szCs w:val="24"/>
        </w:rPr>
        <w:t>As variáveis físico-químicas da água durante o experimento foram: 29,25 ± 2,35°C temperatura; 7,56 ± 0,35 pH; 7,45 ± 1,05 mg</w:t>
      </w:r>
      <w:r w:rsidR="009B527D">
        <w:rPr>
          <w:szCs w:val="24"/>
        </w:rPr>
        <w:t>.</w:t>
      </w:r>
      <w:r w:rsidRPr="008F3774">
        <w:rPr>
          <w:szCs w:val="24"/>
        </w:rPr>
        <w:t>L</w:t>
      </w:r>
      <w:r w:rsidR="009B527D">
        <w:rPr>
          <w:szCs w:val="24"/>
        </w:rPr>
        <w:t xml:space="preserve"> de</w:t>
      </w:r>
      <w:r w:rsidRPr="008F3774">
        <w:rPr>
          <w:szCs w:val="24"/>
        </w:rPr>
        <w:t xml:space="preserve"> oxigênio dissolvido, parâmetros estes, que permanecem dentro </w:t>
      </w:r>
      <w:r w:rsidR="009B527D">
        <w:rPr>
          <w:szCs w:val="24"/>
        </w:rPr>
        <w:t xml:space="preserve">da </w:t>
      </w:r>
      <w:r w:rsidRPr="008F3774">
        <w:rPr>
          <w:szCs w:val="24"/>
        </w:rPr>
        <w:t>faixa considerada ótima para o cultivo da espécie de peixes de clima tropical.</w:t>
      </w:r>
    </w:p>
    <w:p w:rsidR="00DA68D9" w:rsidRPr="008F3774" w:rsidRDefault="00DA68D9" w:rsidP="00DA68D9">
      <w:pPr>
        <w:autoSpaceDE w:val="0"/>
        <w:autoSpaceDN w:val="0"/>
        <w:adjustRightInd w:val="0"/>
        <w:spacing w:after="0" w:line="240" w:lineRule="auto"/>
        <w:ind w:firstLine="708"/>
        <w:jc w:val="both"/>
        <w:rPr>
          <w:rFonts w:eastAsia="TimesNewRomanPSMT"/>
          <w:szCs w:val="24"/>
        </w:rPr>
      </w:pPr>
      <w:r w:rsidRPr="008F3774">
        <w:rPr>
          <w:szCs w:val="24"/>
        </w:rPr>
        <w:t xml:space="preserve">Não foi observado efeito (P&gt;0,05) da densidade de estocagem sobre o peso final, ganho de peso, sobrevivência e taxa de crescimento especifico (Tabela 1). </w:t>
      </w:r>
      <w:r w:rsidRPr="008F3774">
        <w:rPr>
          <w:rFonts w:eastAsiaTheme="minorHAnsi"/>
          <w:szCs w:val="24"/>
        </w:rPr>
        <w:t xml:space="preserve">Martinelli et al. (2013) relataram resultados semelhantes </w:t>
      </w:r>
      <w:r w:rsidR="009B527D">
        <w:rPr>
          <w:rFonts w:eastAsiaTheme="minorHAnsi"/>
          <w:szCs w:val="24"/>
        </w:rPr>
        <w:t>mostrando</w:t>
      </w:r>
      <w:r w:rsidRPr="008F3774">
        <w:rPr>
          <w:rFonts w:eastAsiaTheme="minorHAnsi"/>
          <w:szCs w:val="24"/>
        </w:rPr>
        <w:t xml:space="preserve"> não haver influência das densidades de 50 e 150 peixes/m³ quando cultivados em tanques-rede. </w:t>
      </w:r>
      <w:r w:rsidRPr="008F3774">
        <w:rPr>
          <w:rFonts w:eastAsia="TimesNewRomanPSMT"/>
          <w:szCs w:val="24"/>
        </w:rPr>
        <w:t>Piaia &amp; Baldisseroto (2000), avaliando três densidades de estocagem (114, 227 e 454 alevinos/m³) para juvenis de jundiá, observaram que aqueles cultivados em maiores densidades apresentaram melhor peso final. Demonstrando que esta espécie pode apresentar um comportamento diferenciado no que tange as interações sociais.</w:t>
      </w:r>
    </w:p>
    <w:p w:rsidR="00DA68D9" w:rsidRPr="008F3774" w:rsidRDefault="00DA68D9" w:rsidP="00DA68D9">
      <w:pPr>
        <w:autoSpaceDE w:val="0"/>
        <w:autoSpaceDN w:val="0"/>
        <w:adjustRightInd w:val="0"/>
        <w:spacing w:after="0" w:line="240" w:lineRule="auto"/>
        <w:ind w:firstLine="708"/>
        <w:jc w:val="both"/>
        <w:rPr>
          <w:szCs w:val="24"/>
        </w:rPr>
      </w:pPr>
    </w:p>
    <w:p w:rsidR="00DA68D9" w:rsidRPr="008F3774" w:rsidRDefault="00DA68D9" w:rsidP="00DA68D9">
      <w:pPr>
        <w:spacing w:after="0" w:line="240" w:lineRule="auto"/>
        <w:jc w:val="both"/>
        <w:rPr>
          <w:szCs w:val="24"/>
        </w:rPr>
      </w:pPr>
      <w:r w:rsidRPr="008F3774">
        <w:rPr>
          <w:szCs w:val="24"/>
        </w:rPr>
        <w:t xml:space="preserve">Tabela 1. Desempenho produtivo (media ± desvio) do jundiá cultivado em tanques rede sob diferentes densidades de estocagem. </w:t>
      </w:r>
    </w:p>
    <w:tbl>
      <w:tblPr>
        <w:tblStyle w:val="Tabelacomgrade"/>
        <w:tblW w:w="9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1276"/>
        <w:gridCol w:w="992"/>
        <w:gridCol w:w="992"/>
        <w:gridCol w:w="1134"/>
        <w:gridCol w:w="1082"/>
        <w:gridCol w:w="957"/>
      </w:tblGrid>
      <w:tr w:rsidR="00DA68D9" w:rsidRPr="008F3774" w:rsidTr="00D341F1">
        <w:trPr>
          <w:trHeight w:val="262"/>
          <w:jc w:val="center"/>
        </w:trPr>
        <w:tc>
          <w:tcPr>
            <w:tcW w:w="3114" w:type="dxa"/>
            <w:vMerge w:val="restart"/>
            <w:tcBorders>
              <w:top w:val="single" w:sz="4" w:space="0" w:color="auto"/>
              <w:bottom w:val="single" w:sz="4" w:space="0" w:color="auto"/>
            </w:tcBorders>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Parâmetros</w:t>
            </w:r>
          </w:p>
        </w:tc>
        <w:tc>
          <w:tcPr>
            <w:tcW w:w="5476" w:type="dxa"/>
            <w:gridSpan w:val="5"/>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Densidades de estocagem (peixes/m³)</w:t>
            </w:r>
          </w:p>
        </w:tc>
        <w:tc>
          <w:tcPr>
            <w:tcW w:w="957" w:type="dxa"/>
            <w:vMerge w:val="restart"/>
            <w:tcBorders>
              <w:top w:val="single" w:sz="4" w:space="0" w:color="auto"/>
              <w:bottom w:val="single" w:sz="4" w:space="0" w:color="auto"/>
            </w:tcBorders>
            <w:vAlign w:val="center"/>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Valor de P</w:t>
            </w:r>
          </w:p>
        </w:tc>
      </w:tr>
      <w:tr w:rsidR="00DA68D9" w:rsidRPr="008F3774" w:rsidTr="00D341F1">
        <w:trPr>
          <w:trHeight w:val="262"/>
          <w:jc w:val="center"/>
        </w:trPr>
        <w:tc>
          <w:tcPr>
            <w:tcW w:w="3114" w:type="dxa"/>
            <w:vMerge/>
            <w:tcBorders>
              <w:top w:val="single" w:sz="4" w:space="0" w:color="auto"/>
              <w:bottom w:val="single" w:sz="4" w:space="0" w:color="auto"/>
            </w:tcBorders>
          </w:tcPr>
          <w:p w:rsidR="00DA68D9" w:rsidRPr="008F3774" w:rsidRDefault="00DA68D9" w:rsidP="00D341F1">
            <w:pPr>
              <w:spacing w:after="0" w:line="240" w:lineRule="auto"/>
              <w:rPr>
                <w:rFonts w:ascii="Times New Roman" w:hAnsi="Times New Roman" w:cs="Times New Roman"/>
                <w:szCs w:val="24"/>
              </w:rPr>
            </w:pPr>
          </w:p>
        </w:tc>
        <w:tc>
          <w:tcPr>
            <w:tcW w:w="1276"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100</w:t>
            </w:r>
          </w:p>
        </w:tc>
        <w:tc>
          <w:tcPr>
            <w:tcW w:w="992"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200</w:t>
            </w:r>
          </w:p>
        </w:tc>
        <w:tc>
          <w:tcPr>
            <w:tcW w:w="992"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300</w:t>
            </w:r>
          </w:p>
        </w:tc>
        <w:tc>
          <w:tcPr>
            <w:tcW w:w="1134"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400</w:t>
            </w:r>
          </w:p>
        </w:tc>
        <w:tc>
          <w:tcPr>
            <w:tcW w:w="1082"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500</w:t>
            </w:r>
          </w:p>
        </w:tc>
        <w:tc>
          <w:tcPr>
            <w:tcW w:w="957" w:type="dxa"/>
            <w:vMerge/>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p>
        </w:tc>
      </w:tr>
      <w:tr w:rsidR="00DA68D9" w:rsidRPr="008F3774" w:rsidTr="00D341F1">
        <w:trPr>
          <w:trHeight w:val="262"/>
          <w:jc w:val="center"/>
        </w:trPr>
        <w:tc>
          <w:tcPr>
            <w:tcW w:w="3114" w:type="dxa"/>
            <w:tcBorders>
              <w:top w:val="single" w:sz="4" w:space="0" w:color="auto"/>
            </w:tcBorders>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Peso final (g)</w:t>
            </w:r>
          </w:p>
        </w:tc>
        <w:tc>
          <w:tcPr>
            <w:tcW w:w="1276" w:type="dxa"/>
            <w:tcBorders>
              <w:top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15,02±</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0,62</w:t>
            </w:r>
          </w:p>
        </w:tc>
        <w:tc>
          <w:tcPr>
            <w:tcW w:w="992" w:type="dxa"/>
            <w:tcBorders>
              <w:top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15,47±</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0,96</w:t>
            </w:r>
          </w:p>
        </w:tc>
        <w:tc>
          <w:tcPr>
            <w:tcW w:w="992" w:type="dxa"/>
            <w:tcBorders>
              <w:top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17,05±</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1,61</w:t>
            </w:r>
          </w:p>
        </w:tc>
        <w:tc>
          <w:tcPr>
            <w:tcW w:w="1134" w:type="dxa"/>
            <w:tcBorders>
              <w:top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17,40±</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1,06</w:t>
            </w:r>
          </w:p>
        </w:tc>
        <w:tc>
          <w:tcPr>
            <w:tcW w:w="1082" w:type="dxa"/>
            <w:tcBorders>
              <w:top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16,95±</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0,69</w:t>
            </w:r>
          </w:p>
        </w:tc>
        <w:tc>
          <w:tcPr>
            <w:tcW w:w="957" w:type="dxa"/>
            <w:tcBorders>
              <w:top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0,022</w:t>
            </w:r>
          </w:p>
        </w:tc>
      </w:tr>
      <w:tr w:rsidR="00DA68D9" w:rsidRPr="008F3774" w:rsidTr="00D341F1">
        <w:trPr>
          <w:trHeight w:val="262"/>
          <w:jc w:val="center"/>
        </w:trPr>
        <w:tc>
          <w:tcPr>
            <w:tcW w:w="3114" w:type="dxa"/>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Ganho em peso (g)</w:t>
            </w:r>
          </w:p>
        </w:tc>
        <w:tc>
          <w:tcPr>
            <w:tcW w:w="1276"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10,03±</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0,62</w:t>
            </w:r>
          </w:p>
        </w:tc>
        <w:tc>
          <w:tcPr>
            <w:tcW w:w="992"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10,78±</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0,96</w:t>
            </w:r>
          </w:p>
        </w:tc>
        <w:tc>
          <w:tcPr>
            <w:tcW w:w="992"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12,36±</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1,61</w:t>
            </w:r>
          </w:p>
        </w:tc>
        <w:tc>
          <w:tcPr>
            <w:tcW w:w="1134"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12,70±</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1,06</w:t>
            </w:r>
          </w:p>
        </w:tc>
        <w:tc>
          <w:tcPr>
            <w:tcW w:w="1082"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12,26±</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0,69</w:t>
            </w:r>
          </w:p>
        </w:tc>
        <w:tc>
          <w:tcPr>
            <w:tcW w:w="957"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0,022</w:t>
            </w:r>
          </w:p>
        </w:tc>
      </w:tr>
      <w:tr w:rsidR="00DA68D9" w:rsidRPr="008F3774" w:rsidTr="00D341F1">
        <w:trPr>
          <w:trHeight w:val="262"/>
          <w:jc w:val="center"/>
        </w:trPr>
        <w:tc>
          <w:tcPr>
            <w:tcW w:w="3114" w:type="dxa"/>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Taxa de crescimento especifico</w:t>
            </w:r>
          </w:p>
        </w:tc>
        <w:tc>
          <w:tcPr>
            <w:tcW w:w="1276"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2,38±</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0,09</w:t>
            </w:r>
          </w:p>
        </w:tc>
        <w:tc>
          <w:tcPr>
            <w:tcW w:w="992"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2,43±</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0,13</w:t>
            </w:r>
          </w:p>
        </w:tc>
        <w:tc>
          <w:tcPr>
            <w:tcW w:w="992"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2,63±</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0,19</w:t>
            </w:r>
          </w:p>
        </w:tc>
        <w:tc>
          <w:tcPr>
            <w:tcW w:w="1134"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2,67±</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0,12</w:t>
            </w:r>
          </w:p>
        </w:tc>
        <w:tc>
          <w:tcPr>
            <w:tcW w:w="1082"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2,62±</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0,08</w:t>
            </w:r>
          </w:p>
        </w:tc>
        <w:tc>
          <w:tcPr>
            <w:tcW w:w="957"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0,020</w:t>
            </w:r>
          </w:p>
        </w:tc>
      </w:tr>
      <w:tr w:rsidR="00DA68D9" w:rsidRPr="008F3774" w:rsidTr="00D341F1">
        <w:trPr>
          <w:trHeight w:val="248"/>
          <w:jc w:val="center"/>
        </w:trPr>
        <w:tc>
          <w:tcPr>
            <w:tcW w:w="3114" w:type="dxa"/>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Sobrevivência (%)</w:t>
            </w:r>
          </w:p>
        </w:tc>
        <w:tc>
          <w:tcPr>
            <w:tcW w:w="1276"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94,82±</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2,95</w:t>
            </w:r>
          </w:p>
        </w:tc>
        <w:tc>
          <w:tcPr>
            <w:tcW w:w="992"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88,66±</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9,79</w:t>
            </w:r>
          </w:p>
        </w:tc>
        <w:tc>
          <w:tcPr>
            <w:tcW w:w="992"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98,66±</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0,52</w:t>
            </w:r>
          </w:p>
        </w:tc>
        <w:tc>
          <w:tcPr>
            <w:tcW w:w="1134"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87,70±</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6,92</w:t>
            </w:r>
          </w:p>
        </w:tc>
        <w:tc>
          <w:tcPr>
            <w:tcW w:w="1082"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87,37±</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9,73</w:t>
            </w:r>
          </w:p>
        </w:tc>
        <w:tc>
          <w:tcPr>
            <w:tcW w:w="957"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0,373</w:t>
            </w:r>
          </w:p>
        </w:tc>
      </w:tr>
      <w:tr w:rsidR="00DA68D9" w:rsidRPr="008F3774" w:rsidTr="00D341F1">
        <w:trPr>
          <w:trHeight w:val="262"/>
          <w:jc w:val="center"/>
        </w:trPr>
        <w:tc>
          <w:tcPr>
            <w:tcW w:w="3114" w:type="dxa"/>
            <w:tcBorders>
              <w:bottom w:val="single" w:sz="4" w:space="0" w:color="auto"/>
            </w:tcBorders>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 xml:space="preserve">Densidade final </w:t>
            </w:r>
          </w:p>
        </w:tc>
        <w:tc>
          <w:tcPr>
            <w:tcW w:w="1276" w:type="dxa"/>
            <w:tcBorders>
              <w:bottom w:val="single" w:sz="4" w:space="0" w:color="auto"/>
            </w:tcBorders>
            <w:vAlign w:val="bottom"/>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eastAsia="Times New Roman" w:hAnsi="Times New Roman" w:cs="Times New Roman"/>
                <w:color w:val="000000"/>
                <w:szCs w:val="24"/>
              </w:rPr>
              <w:t>9,52</w:t>
            </w:r>
            <w:r w:rsidRPr="008F3774">
              <w:rPr>
                <w:rFonts w:ascii="Times New Roman" w:hAnsi="Times New Roman" w:cs="Times New Roman"/>
                <w:szCs w:val="24"/>
              </w:rPr>
              <w:t>±</w:t>
            </w:r>
          </w:p>
          <w:p w:rsidR="00DA68D9" w:rsidRPr="008F3774" w:rsidRDefault="00DA68D9" w:rsidP="00D341F1">
            <w:pPr>
              <w:spacing w:after="0" w:line="240" w:lineRule="auto"/>
              <w:jc w:val="center"/>
              <w:rPr>
                <w:rFonts w:ascii="Times New Roman" w:eastAsia="Times New Roman" w:hAnsi="Times New Roman" w:cs="Times New Roman"/>
                <w:color w:val="000000"/>
                <w:szCs w:val="24"/>
              </w:rPr>
            </w:pPr>
            <w:r w:rsidRPr="008F3774">
              <w:rPr>
                <w:rFonts w:ascii="Times New Roman" w:hAnsi="Times New Roman" w:cs="Times New Roman"/>
                <w:szCs w:val="24"/>
              </w:rPr>
              <w:t>2,95</w:t>
            </w:r>
          </w:p>
        </w:tc>
        <w:tc>
          <w:tcPr>
            <w:tcW w:w="992" w:type="dxa"/>
            <w:tcBorders>
              <w:bottom w:val="single" w:sz="4" w:space="0" w:color="auto"/>
            </w:tcBorders>
            <w:vAlign w:val="bottom"/>
          </w:tcPr>
          <w:p w:rsidR="00DA68D9" w:rsidRPr="008F3774" w:rsidRDefault="00DA68D9" w:rsidP="00D341F1">
            <w:pPr>
              <w:spacing w:after="0" w:line="240" w:lineRule="auto"/>
              <w:jc w:val="center"/>
              <w:rPr>
                <w:rFonts w:ascii="Times New Roman" w:eastAsia="Times New Roman" w:hAnsi="Times New Roman" w:cs="Times New Roman"/>
                <w:color w:val="000000"/>
                <w:szCs w:val="24"/>
              </w:rPr>
            </w:pPr>
            <w:r w:rsidRPr="008F3774">
              <w:rPr>
                <w:rFonts w:ascii="Times New Roman" w:eastAsia="Times New Roman" w:hAnsi="Times New Roman" w:cs="Times New Roman"/>
                <w:color w:val="000000"/>
                <w:szCs w:val="24"/>
              </w:rPr>
              <w:t>17,73</w:t>
            </w:r>
            <w:r w:rsidRPr="008F3774">
              <w:rPr>
                <w:rFonts w:ascii="Times New Roman" w:hAnsi="Times New Roman" w:cs="Times New Roman"/>
                <w:szCs w:val="24"/>
              </w:rPr>
              <w:t>±19,58</w:t>
            </w:r>
          </w:p>
        </w:tc>
        <w:tc>
          <w:tcPr>
            <w:tcW w:w="992" w:type="dxa"/>
            <w:tcBorders>
              <w:bottom w:val="single" w:sz="4" w:space="0" w:color="auto"/>
            </w:tcBorders>
            <w:vAlign w:val="bottom"/>
          </w:tcPr>
          <w:p w:rsidR="00DA68D9" w:rsidRPr="008F3774" w:rsidRDefault="00DA68D9" w:rsidP="00D341F1">
            <w:pPr>
              <w:spacing w:after="0" w:line="240" w:lineRule="auto"/>
              <w:jc w:val="center"/>
              <w:rPr>
                <w:rFonts w:ascii="Times New Roman" w:eastAsia="Times New Roman" w:hAnsi="Times New Roman" w:cs="Times New Roman"/>
                <w:color w:val="000000"/>
                <w:szCs w:val="24"/>
              </w:rPr>
            </w:pPr>
            <w:r w:rsidRPr="008F3774">
              <w:rPr>
                <w:rFonts w:ascii="Times New Roman" w:eastAsia="Times New Roman" w:hAnsi="Times New Roman" w:cs="Times New Roman"/>
                <w:color w:val="000000"/>
                <w:szCs w:val="24"/>
              </w:rPr>
              <w:t>28,34</w:t>
            </w:r>
            <w:r w:rsidRPr="008F3774">
              <w:rPr>
                <w:rFonts w:ascii="Times New Roman" w:hAnsi="Times New Roman" w:cs="Times New Roman"/>
                <w:szCs w:val="24"/>
              </w:rPr>
              <w:t>± 1,56</w:t>
            </w:r>
          </w:p>
        </w:tc>
        <w:tc>
          <w:tcPr>
            <w:tcW w:w="1134" w:type="dxa"/>
            <w:tcBorders>
              <w:bottom w:val="single" w:sz="4" w:space="0" w:color="auto"/>
            </w:tcBorders>
            <w:vAlign w:val="bottom"/>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eastAsia="Times New Roman" w:hAnsi="Times New Roman" w:cs="Times New Roman"/>
                <w:color w:val="000000"/>
                <w:szCs w:val="24"/>
              </w:rPr>
              <w:t>35,08</w:t>
            </w:r>
            <w:r w:rsidRPr="008F3774">
              <w:rPr>
                <w:rFonts w:ascii="Times New Roman" w:hAnsi="Times New Roman" w:cs="Times New Roman"/>
                <w:szCs w:val="24"/>
              </w:rPr>
              <w:t>±</w:t>
            </w:r>
          </w:p>
          <w:p w:rsidR="00DA68D9" w:rsidRPr="008F3774" w:rsidRDefault="00DA68D9" w:rsidP="00D341F1">
            <w:pPr>
              <w:spacing w:after="0" w:line="240" w:lineRule="auto"/>
              <w:jc w:val="center"/>
              <w:rPr>
                <w:rFonts w:ascii="Times New Roman" w:eastAsia="Times New Roman" w:hAnsi="Times New Roman" w:cs="Times New Roman"/>
                <w:color w:val="000000"/>
                <w:szCs w:val="24"/>
              </w:rPr>
            </w:pPr>
            <w:r w:rsidRPr="008F3774">
              <w:rPr>
                <w:rFonts w:ascii="Times New Roman" w:hAnsi="Times New Roman" w:cs="Times New Roman"/>
                <w:szCs w:val="24"/>
              </w:rPr>
              <w:t>27,67</w:t>
            </w:r>
          </w:p>
        </w:tc>
        <w:tc>
          <w:tcPr>
            <w:tcW w:w="1082" w:type="dxa"/>
            <w:tcBorders>
              <w:bottom w:val="single" w:sz="4" w:space="0" w:color="auto"/>
            </w:tcBorders>
            <w:vAlign w:val="bottom"/>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eastAsia="Times New Roman" w:hAnsi="Times New Roman" w:cs="Times New Roman"/>
                <w:color w:val="000000"/>
                <w:szCs w:val="24"/>
              </w:rPr>
              <w:t>46,40</w:t>
            </w:r>
            <w:r w:rsidRPr="008F3774">
              <w:rPr>
                <w:rFonts w:ascii="Times New Roman" w:hAnsi="Times New Roman" w:cs="Times New Roman"/>
                <w:szCs w:val="24"/>
              </w:rPr>
              <w:t>±</w:t>
            </w:r>
          </w:p>
          <w:p w:rsidR="00DA68D9" w:rsidRPr="008F3774" w:rsidRDefault="00DA68D9" w:rsidP="00D341F1">
            <w:pPr>
              <w:spacing w:after="0" w:line="240" w:lineRule="auto"/>
              <w:jc w:val="center"/>
              <w:rPr>
                <w:rFonts w:ascii="Times New Roman" w:eastAsia="Times New Roman" w:hAnsi="Times New Roman" w:cs="Times New Roman"/>
                <w:color w:val="000000"/>
                <w:szCs w:val="24"/>
              </w:rPr>
            </w:pPr>
            <w:r w:rsidRPr="008F3774">
              <w:rPr>
                <w:rFonts w:ascii="Times New Roman" w:hAnsi="Times New Roman" w:cs="Times New Roman"/>
                <w:szCs w:val="24"/>
              </w:rPr>
              <w:t>48,63</w:t>
            </w:r>
          </w:p>
        </w:tc>
        <w:tc>
          <w:tcPr>
            <w:tcW w:w="957" w:type="dxa"/>
            <w:tcBorders>
              <w:bottom w:val="single" w:sz="4" w:space="0" w:color="auto"/>
            </w:tcBorders>
          </w:tcPr>
          <w:p w:rsidR="00DA68D9" w:rsidRPr="008F3774" w:rsidRDefault="00DA68D9" w:rsidP="00D341F1">
            <w:pPr>
              <w:spacing w:after="0" w:line="240" w:lineRule="auto"/>
              <w:jc w:val="center"/>
              <w:rPr>
                <w:rFonts w:ascii="Times New Roman" w:eastAsia="Times New Roman" w:hAnsi="Times New Roman" w:cs="Times New Roman"/>
                <w:color w:val="000000"/>
                <w:szCs w:val="24"/>
              </w:rPr>
            </w:pPr>
            <w:r w:rsidRPr="008F3774">
              <w:rPr>
                <w:rFonts w:ascii="Times New Roman" w:eastAsia="Times New Roman" w:hAnsi="Times New Roman" w:cs="Times New Roman"/>
                <w:color w:val="000000"/>
                <w:szCs w:val="24"/>
              </w:rPr>
              <w:t>0</w:t>
            </w:r>
            <w:r w:rsidR="008F3774">
              <w:rPr>
                <w:rFonts w:ascii="Times New Roman" w:eastAsia="Times New Roman" w:hAnsi="Times New Roman" w:cs="Times New Roman"/>
                <w:color w:val="000000"/>
                <w:szCs w:val="24"/>
              </w:rPr>
              <w:t>,00*</w:t>
            </w:r>
          </w:p>
        </w:tc>
      </w:tr>
    </w:tbl>
    <w:p w:rsidR="008F3774" w:rsidRDefault="00DA68D9" w:rsidP="008F3774">
      <w:pPr>
        <w:jc w:val="both"/>
        <w:rPr>
          <w:sz w:val="20"/>
          <w:lang w:val="en-US"/>
        </w:rPr>
      </w:pPr>
      <w:r w:rsidRPr="008F3774">
        <w:rPr>
          <w:sz w:val="20"/>
          <w:szCs w:val="24"/>
        </w:rPr>
        <w:t xml:space="preserve">* </w:t>
      </w:r>
      <w:r w:rsidR="008F3774">
        <w:rPr>
          <w:sz w:val="20"/>
          <w:szCs w:val="24"/>
        </w:rPr>
        <w:t xml:space="preserve">Regressão linear, </w:t>
      </w:r>
      <w:r w:rsidR="008F3774" w:rsidRPr="008F3774">
        <w:rPr>
          <w:sz w:val="20"/>
          <w:lang w:val="en-US"/>
        </w:rPr>
        <w:t>y = -0,0053x + 3,29</w:t>
      </w:r>
      <w:r w:rsidR="008F3774">
        <w:rPr>
          <w:sz w:val="20"/>
          <w:lang w:val="en-US"/>
        </w:rPr>
        <w:t xml:space="preserve">, </w:t>
      </w:r>
      <w:r w:rsidR="008F3774" w:rsidRPr="008F3774">
        <w:rPr>
          <w:sz w:val="20"/>
          <w:lang w:val="en-US"/>
        </w:rPr>
        <w:t>R² = 0,8112</w:t>
      </w:r>
    </w:p>
    <w:p w:rsidR="009B527D" w:rsidRPr="008F3774" w:rsidRDefault="009B527D" w:rsidP="009B527D">
      <w:pPr>
        <w:autoSpaceDE w:val="0"/>
        <w:autoSpaceDN w:val="0"/>
        <w:adjustRightInd w:val="0"/>
        <w:spacing w:after="0" w:line="240" w:lineRule="auto"/>
        <w:ind w:firstLine="708"/>
        <w:jc w:val="both"/>
        <w:rPr>
          <w:rFonts w:eastAsiaTheme="minorHAnsi"/>
          <w:szCs w:val="24"/>
        </w:rPr>
      </w:pPr>
      <w:r w:rsidRPr="008F3774">
        <w:rPr>
          <w:szCs w:val="24"/>
        </w:rPr>
        <w:t>Peixes mantidos em altas densidades normalmente têm menor crescimento (EL-SAYED, 2002), ficam estressados (</w:t>
      </w:r>
      <w:r w:rsidRPr="008F3774">
        <w:rPr>
          <w:rFonts w:eastAsia="TimesNewRomanPSMT"/>
          <w:szCs w:val="24"/>
        </w:rPr>
        <w:t xml:space="preserve">JOBLING, 1994; </w:t>
      </w:r>
      <w:r w:rsidRPr="008F3774">
        <w:rPr>
          <w:szCs w:val="24"/>
        </w:rPr>
        <w:t>IGUCHI et al</w:t>
      </w:r>
      <w:r w:rsidRPr="008F3774">
        <w:rPr>
          <w:i/>
          <w:szCs w:val="24"/>
        </w:rPr>
        <w:t>.</w:t>
      </w:r>
      <w:r w:rsidRPr="008F3774">
        <w:rPr>
          <w:szCs w:val="24"/>
        </w:rPr>
        <w:t>, 2003; SALARO et al., 2003) e estão sujeitos ao aparecimento de interações sociais que levam à produção de um lote de indivíduos com tamanho heterogêneo (CAVERO et al., 2003</w:t>
      </w:r>
      <w:r w:rsidR="00DF07DA">
        <w:rPr>
          <w:szCs w:val="24"/>
        </w:rPr>
        <w:t>)</w:t>
      </w:r>
      <w:r w:rsidRPr="008F3774">
        <w:rPr>
          <w:szCs w:val="24"/>
        </w:rPr>
        <w:t>. Por outro lado, Gomes et al. (2000) relataram que peixes criados em baixas densidades de estocagem apresentam boa taxa de crescimento e alta porcentagem de sobrevivência, porém a produção por área é baixa. Porém, a</w:t>
      </w:r>
      <w:r w:rsidRPr="008F3774">
        <w:rPr>
          <w:rFonts w:eastAsiaTheme="minorHAnsi"/>
          <w:szCs w:val="24"/>
        </w:rPr>
        <w:t xml:space="preserve"> definição do que seja uma alta ou baixa densidade depende da espécie, do tamanho dos exemplares e do sistema de cultivo utilizado </w:t>
      </w:r>
      <w:r>
        <w:rPr>
          <w:rFonts w:eastAsiaTheme="minorHAnsi"/>
          <w:szCs w:val="24"/>
        </w:rPr>
        <w:t>(</w:t>
      </w:r>
      <w:r w:rsidRPr="008F3774">
        <w:rPr>
          <w:rFonts w:eastAsia="TimesNewRomanPSMT"/>
          <w:szCs w:val="24"/>
        </w:rPr>
        <w:t xml:space="preserve">PIAIA </w:t>
      </w:r>
      <w:r>
        <w:rPr>
          <w:rFonts w:eastAsia="TimesNewRomanPSMT"/>
          <w:szCs w:val="24"/>
        </w:rPr>
        <w:t>e</w:t>
      </w:r>
      <w:r w:rsidRPr="008F3774">
        <w:rPr>
          <w:rFonts w:eastAsia="TimesNewRomanPSMT"/>
          <w:szCs w:val="24"/>
        </w:rPr>
        <w:t xml:space="preserve"> BALDISSEROTO</w:t>
      </w:r>
      <w:r>
        <w:rPr>
          <w:rFonts w:eastAsia="TimesNewRomanPSMT"/>
          <w:szCs w:val="24"/>
        </w:rPr>
        <w:t xml:space="preserve">, </w:t>
      </w:r>
      <w:r w:rsidRPr="008F3774">
        <w:rPr>
          <w:rFonts w:eastAsia="TimesNewRomanPSMT"/>
          <w:szCs w:val="24"/>
        </w:rPr>
        <w:t>2000)</w:t>
      </w:r>
      <w:r w:rsidRPr="008F3774">
        <w:rPr>
          <w:rFonts w:eastAsiaTheme="minorHAnsi"/>
          <w:szCs w:val="24"/>
        </w:rPr>
        <w:t>. Contudo, o</w:t>
      </w:r>
      <w:r w:rsidRPr="008F3774">
        <w:rPr>
          <w:szCs w:val="24"/>
        </w:rPr>
        <w:t xml:space="preserve"> comprometimento do crescimento e a sobrevivência não foram influenciados pelas densidades estudadas, pois apresentaram crescimento </w:t>
      </w:r>
      <w:r w:rsidRPr="008F3774">
        <w:rPr>
          <w:szCs w:val="24"/>
        </w:rPr>
        <w:lastRenderedPageBreak/>
        <w:t xml:space="preserve">similar entre as densidades estudadas, provavelmente a densidade de 500 peixes/m³ e o tempo de cultivo não tenha atingido a capacidade de suporte do ambiente pois não se observou o aparecimento de interações e </w:t>
      </w:r>
      <w:r>
        <w:rPr>
          <w:szCs w:val="24"/>
        </w:rPr>
        <w:t>sociais</w:t>
      </w:r>
      <w:r w:rsidRPr="008F3774">
        <w:rPr>
          <w:szCs w:val="24"/>
        </w:rPr>
        <w:t xml:space="preserve"> que possam ter influenciado nos resultados.</w:t>
      </w:r>
    </w:p>
    <w:p w:rsidR="00DA68D9" w:rsidRPr="008F3774" w:rsidRDefault="00DA68D9" w:rsidP="00DA68D9">
      <w:pPr>
        <w:autoSpaceDE w:val="0"/>
        <w:autoSpaceDN w:val="0"/>
        <w:adjustRightInd w:val="0"/>
        <w:spacing w:after="0" w:line="240" w:lineRule="auto"/>
        <w:ind w:firstLine="708"/>
        <w:jc w:val="both"/>
        <w:rPr>
          <w:szCs w:val="24"/>
        </w:rPr>
      </w:pPr>
      <w:r w:rsidRPr="008F3774">
        <w:rPr>
          <w:szCs w:val="24"/>
        </w:rPr>
        <w:t xml:space="preserve">Para alevinos de tilapia cultivado em tanques rede nas densidades de 100, 150 e 200 alevinos/m³ (PINTO, 2011), para alevinos de matrinxã </w:t>
      </w:r>
      <w:r w:rsidRPr="008F3774">
        <w:rPr>
          <w:rFonts w:eastAsiaTheme="minorHAnsi"/>
          <w:i/>
          <w:iCs/>
          <w:szCs w:val="24"/>
        </w:rPr>
        <w:t>Brycon cephalus</w:t>
      </w:r>
      <w:r w:rsidRPr="008F3774">
        <w:rPr>
          <w:szCs w:val="24"/>
        </w:rPr>
        <w:t xml:space="preserve">, nas densidades de </w:t>
      </w:r>
      <w:r w:rsidRPr="008F3774">
        <w:rPr>
          <w:rFonts w:eastAsiaTheme="minorHAnsi"/>
          <w:szCs w:val="24"/>
        </w:rPr>
        <w:t>24, 48, 72 e 96 alevinos/m³</w:t>
      </w:r>
      <w:r w:rsidRPr="008F3774">
        <w:rPr>
          <w:szCs w:val="24"/>
        </w:rPr>
        <w:t xml:space="preserve"> (MARQUES et al., 2004), para juvenis de tilapia do Nilo, nas densidades de 100 e 150 tilapias/m³ (ARAUJO et al., 2011) não observaram efeito da densidade sobre o ganho de peso ou peso final, resultados semelhantes aos observados para o jundia</w:t>
      </w:r>
      <w:r w:rsidRPr="008F3774">
        <w:rPr>
          <w:rFonts w:eastAsiaTheme="minorHAnsi"/>
          <w:i/>
          <w:iCs/>
          <w:szCs w:val="24"/>
        </w:rPr>
        <w:t xml:space="preserve">. </w:t>
      </w:r>
      <w:r w:rsidRPr="008F3774">
        <w:rPr>
          <w:rFonts w:eastAsiaTheme="minorHAnsi"/>
          <w:iCs/>
          <w:szCs w:val="24"/>
        </w:rPr>
        <w:t>Por outro lado,</w:t>
      </w:r>
      <w:r w:rsidRPr="008F3774">
        <w:rPr>
          <w:rFonts w:eastAsiaTheme="minorHAnsi"/>
          <w:szCs w:val="24"/>
        </w:rPr>
        <w:t xml:space="preserve"> Maeda et al. (2010), avaliando densidade de </w:t>
      </w:r>
      <w:r w:rsidRPr="008F3774">
        <w:rPr>
          <w:szCs w:val="24"/>
        </w:rPr>
        <w:t>700, 1000 e 1300 alevinos de tilapia/m³, Brandão et al. (2004) avaliando a densidade de 200, 300, 400 e 500 juvenis de tambaqui/m³, e Bittencourt et al. (2010) avaliando a densidades de 200, 300 e 400 pacus/m³, relataram redução do peso final com o aumento da densidade de estocagem. A redução no crescimento em densidades mais elevadas, pode estar relacionado a falta de espaço e alimento disponível, bem como piora na qualidade da água, fato não observado no atual trabalho, onde não foi evidenciado diferenças no peso final e na sobrevivência dos jundiás.</w:t>
      </w:r>
    </w:p>
    <w:p w:rsidR="00DA68D9" w:rsidRPr="008F3774" w:rsidRDefault="00DA68D9" w:rsidP="00DA68D9">
      <w:pPr>
        <w:autoSpaceDE w:val="0"/>
        <w:autoSpaceDN w:val="0"/>
        <w:adjustRightInd w:val="0"/>
        <w:spacing w:after="0" w:line="240" w:lineRule="auto"/>
        <w:ind w:firstLine="708"/>
        <w:jc w:val="both"/>
        <w:rPr>
          <w:szCs w:val="24"/>
        </w:rPr>
      </w:pPr>
      <w:r w:rsidRPr="008F3774">
        <w:rPr>
          <w:szCs w:val="24"/>
        </w:rPr>
        <w:t xml:space="preserve">Alguns autores relatam que o aumento da densidade de estocagem proporciona melhora nos índices de conversão alimentar e aumento da biomassa total (SALARO </w:t>
      </w:r>
      <w:r w:rsidRPr="008F3774">
        <w:rPr>
          <w:iCs/>
          <w:szCs w:val="24"/>
        </w:rPr>
        <w:t xml:space="preserve">et al., </w:t>
      </w:r>
      <w:r w:rsidRPr="008F3774">
        <w:rPr>
          <w:szCs w:val="24"/>
        </w:rPr>
        <w:t xml:space="preserve">2003; AYROZA </w:t>
      </w:r>
      <w:r w:rsidRPr="008F3774">
        <w:rPr>
          <w:iCs/>
          <w:szCs w:val="24"/>
        </w:rPr>
        <w:t>et al</w:t>
      </w:r>
      <w:r w:rsidRPr="008F3774">
        <w:rPr>
          <w:szCs w:val="24"/>
        </w:rPr>
        <w:t>., 2011), semelhante aos observados para os jundiás, que apresentaram redução linear inversamente proporcional para a conversão alimentar aparente, com o aumento da densidade de estocagem (Figura 1), com menores valores para aqueles peixes cultivados na densidade de 500 peixes/m³.  Segundo Caraciolo et al. (2000) o fato da conversão alimentar, em alguns casos, ser menor nas densidades de estocagem mais elevadas pode ser reflexo do efeito do grupo para algumas espécies, ou seja, apresentam melhor ingestão e aproveitamento de alimentos, em virtude da redução das agressões e da competitividade da população confinada, fator que pode ter ocorrido com os jundiás nas densidades mais elevados, além, do fato do jundia em tanques rede apresentar uma caraterísticas de cardume, em função de seu estresse, o que reduz com o aumento da densidade de estocagem.</w:t>
      </w:r>
    </w:p>
    <w:p w:rsidR="00DA68D9" w:rsidRPr="008F3774" w:rsidRDefault="00DA68D9" w:rsidP="00DA68D9">
      <w:pPr>
        <w:autoSpaceDE w:val="0"/>
        <w:autoSpaceDN w:val="0"/>
        <w:adjustRightInd w:val="0"/>
        <w:spacing w:after="0" w:line="240" w:lineRule="auto"/>
        <w:ind w:firstLine="708"/>
        <w:jc w:val="both"/>
        <w:rPr>
          <w:szCs w:val="24"/>
        </w:rPr>
      </w:pPr>
    </w:p>
    <w:p w:rsidR="00DA68D9" w:rsidRPr="008F3774" w:rsidRDefault="00DA68D9" w:rsidP="00DA68D9">
      <w:pPr>
        <w:autoSpaceDE w:val="0"/>
        <w:autoSpaceDN w:val="0"/>
        <w:adjustRightInd w:val="0"/>
        <w:spacing w:after="0" w:line="240" w:lineRule="auto"/>
        <w:jc w:val="center"/>
        <w:rPr>
          <w:szCs w:val="24"/>
        </w:rPr>
      </w:pPr>
      <w:r w:rsidRPr="008F3774">
        <w:rPr>
          <w:noProof/>
          <w:szCs w:val="24"/>
        </w:rPr>
        <w:drawing>
          <wp:inline distT="0" distB="0" distL="0" distR="0" wp14:anchorId="0A75D714" wp14:editId="65C8D78E">
            <wp:extent cx="4495800" cy="2266950"/>
            <wp:effectExtent l="0" t="0" r="0" b="0"/>
            <wp:docPr id="3" name="Gráfico 3">
              <a:extLst xmlns:a="http://schemas.openxmlformats.org/drawingml/2006/main">
                <a:ext uri="{FF2B5EF4-FFF2-40B4-BE49-F238E27FC236}">
                  <a16:creationId xmlns:a16="http://schemas.microsoft.com/office/drawing/2014/main" id="{1BAF5164-DF31-44B3-9362-C5C08353B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68D9" w:rsidRPr="008F3774" w:rsidRDefault="00DA68D9" w:rsidP="00DA68D9">
      <w:pPr>
        <w:autoSpaceDE w:val="0"/>
        <w:autoSpaceDN w:val="0"/>
        <w:adjustRightInd w:val="0"/>
        <w:spacing w:after="0" w:line="240" w:lineRule="auto"/>
        <w:jc w:val="center"/>
        <w:rPr>
          <w:sz w:val="22"/>
          <w:szCs w:val="24"/>
        </w:rPr>
      </w:pPr>
      <w:r w:rsidRPr="008F3774">
        <w:rPr>
          <w:sz w:val="22"/>
          <w:szCs w:val="24"/>
        </w:rPr>
        <w:t>Figura 1. Conversão alimentar aparente do jundia cultivado em diferentes densidades de estocagem</w:t>
      </w:r>
    </w:p>
    <w:p w:rsidR="00DA68D9" w:rsidRPr="008F3774" w:rsidRDefault="00DA68D9" w:rsidP="00DA68D9">
      <w:pPr>
        <w:autoSpaceDE w:val="0"/>
        <w:autoSpaceDN w:val="0"/>
        <w:adjustRightInd w:val="0"/>
        <w:spacing w:after="0" w:line="240" w:lineRule="auto"/>
        <w:jc w:val="center"/>
        <w:rPr>
          <w:szCs w:val="24"/>
        </w:rPr>
      </w:pPr>
    </w:p>
    <w:p w:rsidR="00DA68D9" w:rsidRPr="008F3774" w:rsidRDefault="00DA68D9" w:rsidP="00DA68D9">
      <w:pPr>
        <w:autoSpaceDE w:val="0"/>
        <w:autoSpaceDN w:val="0"/>
        <w:adjustRightInd w:val="0"/>
        <w:spacing w:after="0" w:line="240" w:lineRule="auto"/>
        <w:ind w:firstLine="708"/>
        <w:jc w:val="both"/>
        <w:rPr>
          <w:szCs w:val="24"/>
        </w:rPr>
      </w:pPr>
      <w:r w:rsidRPr="008F3774">
        <w:rPr>
          <w:szCs w:val="24"/>
        </w:rPr>
        <w:t>Para alevinos de jundia (</w:t>
      </w:r>
      <w:r w:rsidR="009B527D" w:rsidRPr="008F3774">
        <w:rPr>
          <w:szCs w:val="24"/>
        </w:rPr>
        <w:t>PINTO</w:t>
      </w:r>
      <w:r w:rsidRPr="008F3774">
        <w:rPr>
          <w:szCs w:val="24"/>
        </w:rPr>
        <w:t>, 2011), alevinos de tambaqui (</w:t>
      </w:r>
      <w:r w:rsidR="009B527D" w:rsidRPr="008F3774">
        <w:rPr>
          <w:szCs w:val="24"/>
        </w:rPr>
        <w:t xml:space="preserve">BRANDÃO </w:t>
      </w:r>
      <w:r w:rsidRPr="008F3774">
        <w:rPr>
          <w:szCs w:val="24"/>
        </w:rPr>
        <w:t xml:space="preserve">et al., 2004), e juvenis de pacu (BITTENCOURT et al., 2010) relataram não haver influência da densidade, sobre os parâmetros de conversão alimentar aparente. Por outro lado, </w:t>
      </w:r>
      <w:r w:rsidRPr="008F3774">
        <w:rPr>
          <w:rFonts w:eastAsia="TimesNewRomanPSMT"/>
          <w:szCs w:val="24"/>
        </w:rPr>
        <w:t xml:space="preserve">Cavero et al. (2003) avaliando a densidade de estocagem de </w:t>
      </w:r>
      <w:r w:rsidRPr="008F3774">
        <w:rPr>
          <w:rFonts w:eastAsiaTheme="minorHAnsi"/>
          <w:szCs w:val="24"/>
        </w:rPr>
        <w:t>juvenis de pirarucu (</w:t>
      </w:r>
      <w:r w:rsidRPr="008F3774">
        <w:rPr>
          <w:rFonts w:eastAsiaTheme="minorHAnsi"/>
          <w:i/>
          <w:iCs/>
          <w:szCs w:val="24"/>
        </w:rPr>
        <w:t>Arapaima gigas</w:t>
      </w:r>
      <w:r w:rsidRPr="008F3774">
        <w:rPr>
          <w:rFonts w:eastAsiaTheme="minorHAnsi"/>
          <w:szCs w:val="24"/>
        </w:rPr>
        <w:t>) criados em tanques rede nas densidades de estocagem 15, 20 e 25 peixes/m³, relataram melhor resultado para a densidade 25 peixes/m</w:t>
      </w:r>
      <w:r w:rsidRPr="008F3774">
        <w:rPr>
          <w:rFonts w:eastAsiaTheme="minorHAnsi"/>
          <w:szCs w:val="24"/>
          <w:vertAlign w:val="superscript"/>
        </w:rPr>
        <w:t>3</w:t>
      </w:r>
      <w:r w:rsidRPr="008F3774">
        <w:rPr>
          <w:rFonts w:eastAsiaTheme="minorHAnsi"/>
          <w:szCs w:val="24"/>
        </w:rPr>
        <w:t>, demostrando que ocorre melhor distribuição do alimento, impedindo perdas, e a otimização do consumo, não estando relacionadas com a condição dos peixes e sim com o número de juvenis de pirarucu/m³.</w:t>
      </w:r>
    </w:p>
    <w:p w:rsidR="00DA68D9" w:rsidRPr="008F3774" w:rsidRDefault="00DA68D9" w:rsidP="00DA68D9">
      <w:pPr>
        <w:autoSpaceDE w:val="0"/>
        <w:autoSpaceDN w:val="0"/>
        <w:adjustRightInd w:val="0"/>
        <w:spacing w:after="0" w:line="240" w:lineRule="auto"/>
        <w:ind w:firstLine="708"/>
        <w:jc w:val="both"/>
        <w:rPr>
          <w:color w:val="000000"/>
          <w:szCs w:val="24"/>
          <w:shd w:val="clear" w:color="auto" w:fill="FFFFFF"/>
        </w:rPr>
      </w:pPr>
      <w:r w:rsidRPr="008F3774">
        <w:rPr>
          <w:rFonts w:eastAsia="TimesNewRomanPSMT"/>
          <w:szCs w:val="24"/>
        </w:rPr>
        <w:lastRenderedPageBreak/>
        <w:t xml:space="preserve">Para a biomassa final dos jundia, </w:t>
      </w:r>
      <w:r w:rsidRPr="008F3774">
        <w:rPr>
          <w:szCs w:val="24"/>
        </w:rPr>
        <w:t xml:space="preserve">observou-se efeito linear (Figura 2) diretamente proporcional a densidade de estocagem com maiores valores para aqueles cultivados com 500 jundias/m³, resultados semelhantes aos observados por </w:t>
      </w:r>
      <w:r w:rsidRPr="008F3774">
        <w:rPr>
          <w:rFonts w:eastAsia="TimesNewRomanPSMT"/>
          <w:szCs w:val="24"/>
        </w:rPr>
        <w:t xml:space="preserve">Piaia &amp; Baldisseroto (2000), Marques et al. (2004), Brandão et al. (2004), Marengoni (2006), </w:t>
      </w:r>
      <w:r w:rsidRPr="008F3774">
        <w:rPr>
          <w:color w:val="000000"/>
          <w:szCs w:val="24"/>
          <w:shd w:val="clear" w:color="auto" w:fill="FFFFFF"/>
        </w:rPr>
        <w:t xml:space="preserve">Bittencourt et al. (2010) </w:t>
      </w:r>
      <w:r w:rsidRPr="008F3774">
        <w:rPr>
          <w:rFonts w:eastAsia="TimesNewRomanPSMT"/>
          <w:szCs w:val="24"/>
        </w:rPr>
        <w:t xml:space="preserve">e Araujo et al. (2011). Segundo Piaia &amp; Baldisseroto (2000), jundiás cultivados em altas densidades permanecem em grupos e formam cardumes na captura por alimento, fator inverso aos jundiás cultivados em menor densidade, que formam territórios distintos e individuais. </w:t>
      </w:r>
      <w:r w:rsidRPr="009B527D">
        <w:rPr>
          <w:rFonts w:eastAsia="TimesNewRomanPSMT"/>
          <w:szCs w:val="24"/>
        </w:rPr>
        <w:t>Neste mesmo sentido</w:t>
      </w:r>
      <w:r w:rsidR="009B527D" w:rsidRPr="009B527D">
        <w:rPr>
          <w:rFonts w:eastAsia="TimesNewRomanPSMT"/>
          <w:szCs w:val="24"/>
        </w:rPr>
        <w:t>,</w:t>
      </w:r>
      <w:r w:rsidRPr="009B527D">
        <w:rPr>
          <w:rFonts w:eastAsia="TimesNewRomanPSMT"/>
          <w:szCs w:val="24"/>
        </w:rPr>
        <w:t xml:space="preserve"> Jobling (1994) já ressaltava que a </w:t>
      </w:r>
      <w:r w:rsidRPr="009B527D">
        <w:rPr>
          <w:color w:val="000000"/>
          <w:szCs w:val="24"/>
          <w:shd w:val="clear" w:color="auto" w:fill="FFFFFF"/>
        </w:rPr>
        <w:t xml:space="preserve">agressividade pode ser reduzida com o aumento da densidade, pois, </w:t>
      </w:r>
      <w:r w:rsidR="009B527D" w:rsidRPr="009B527D">
        <w:rPr>
          <w:color w:val="000000"/>
          <w:szCs w:val="24"/>
          <w:shd w:val="clear" w:color="auto" w:fill="FFFFFF"/>
        </w:rPr>
        <w:t>reduz a</w:t>
      </w:r>
      <w:r w:rsidRPr="009B527D">
        <w:rPr>
          <w:color w:val="000000"/>
          <w:szCs w:val="24"/>
          <w:shd w:val="clear" w:color="auto" w:fill="FFFFFF"/>
        </w:rPr>
        <w:t xml:space="preserve"> incidência de lutas e ameaças pela disputa do território</w:t>
      </w:r>
      <w:r w:rsidR="009B527D" w:rsidRPr="009B527D">
        <w:rPr>
          <w:color w:val="000000"/>
          <w:szCs w:val="24"/>
          <w:shd w:val="clear" w:color="auto" w:fill="FFFFFF"/>
        </w:rPr>
        <w:t>.</w:t>
      </w:r>
    </w:p>
    <w:p w:rsidR="00DA68D9" w:rsidRPr="008F3774" w:rsidRDefault="00DA68D9" w:rsidP="00DA68D9">
      <w:pPr>
        <w:autoSpaceDE w:val="0"/>
        <w:autoSpaceDN w:val="0"/>
        <w:adjustRightInd w:val="0"/>
        <w:spacing w:after="0" w:line="240" w:lineRule="auto"/>
        <w:ind w:firstLine="708"/>
        <w:jc w:val="both"/>
        <w:rPr>
          <w:color w:val="000000"/>
          <w:szCs w:val="24"/>
          <w:shd w:val="clear" w:color="auto" w:fill="FFFFFF"/>
        </w:rPr>
      </w:pPr>
    </w:p>
    <w:p w:rsidR="00DA68D9" w:rsidRPr="008F3774" w:rsidRDefault="00DA68D9" w:rsidP="00DA68D9">
      <w:pPr>
        <w:autoSpaceDE w:val="0"/>
        <w:autoSpaceDN w:val="0"/>
        <w:adjustRightInd w:val="0"/>
        <w:spacing w:after="0" w:line="240" w:lineRule="auto"/>
        <w:jc w:val="center"/>
        <w:rPr>
          <w:rFonts w:eastAsiaTheme="minorHAnsi"/>
          <w:szCs w:val="24"/>
        </w:rPr>
      </w:pPr>
      <w:r w:rsidRPr="008F3774">
        <w:rPr>
          <w:noProof/>
          <w:szCs w:val="24"/>
        </w:rPr>
        <w:drawing>
          <wp:inline distT="0" distB="0" distL="0" distR="0" wp14:anchorId="628180AF" wp14:editId="1D32AC71">
            <wp:extent cx="4667250" cy="2324100"/>
            <wp:effectExtent l="0" t="0" r="0" b="0"/>
            <wp:docPr id="1" name="Gráfico 1">
              <a:extLst xmlns:a="http://schemas.openxmlformats.org/drawingml/2006/main">
                <a:ext uri="{FF2B5EF4-FFF2-40B4-BE49-F238E27FC236}">
                  <a16:creationId xmlns:a16="http://schemas.microsoft.com/office/drawing/2014/main" id="{1BAF5164-DF31-44B3-9362-C5C08353B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68D9" w:rsidRPr="008F3774" w:rsidRDefault="00DA68D9" w:rsidP="00DA68D9">
      <w:pPr>
        <w:autoSpaceDE w:val="0"/>
        <w:autoSpaceDN w:val="0"/>
        <w:adjustRightInd w:val="0"/>
        <w:spacing w:after="0" w:line="240" w:lineRule="auto"/>
        <w:jc w:val="center"/>
        <w:rPr>
          <w:sz w:val="20"/>
          <w:szCs w:val="24"/>
        </w:rPr>
      </w:pPr>
      <w:r w:rsidRPr="008F3774">
        <w:rPr>
          <w:sz w:val="20"/>
          <w:szCs w:val="24"/>
        </w:rPr>
        <w:t>Figura 2. Biomassa final dos jundia cultivados em diferentes densidades de estocagem</w:t>
      </w:r>
    </w:p>
    <w:p w:rsidR="00DA68D9" w:rsidRPr="008F3774" w:rsidRDefault="00DA68D9" w:rsidP="00DA68D9">
      <w:pPr>
        <w:autoSpaceDE w:val="0"/>
        <w:autoSpaceDN w:val="0"/>
        <w:adjustRightInd w:val="0"/>
        <w:spacing w:after="0" w:line="240" w:lineRule="auto"/>
        <w:jc w:val="center"/>
        <w:rPr>
          <w:rFonts w:eastAsiaTheme="minorHAnsi"/>
          <w:szCs w:val="24"/>
        </w:rPr>
      </w:pPr>
    </w:p>
    <w:p w:rsidR="00DA68D9" w:rsidRPr="008F3774" w:rsidRDefault="00DA68D9" w:rsidP="00DA68D9">
      <w:pPr>
        <w:spacing w:after="0" w:line="240" w:lineRule="auto"/>
        <w:ind w:firstLine="708"/>
        <w:jc w:val="both"/>
        <w:rPr>
          <w:rFonts w:eastAsiaTheme="minorHAnsi"/>
          <w:szCs w:val="24"/>
        </w:rPr>
      </w:pPr>
      <w:r w:rsidRPr="008F3774">
        <w:rPr>
          <w:szCs w:val="24"/>
        </w:rPr>
        <w:t xml:space="preserve">A densidade de estocagem não influenciou nos diferentes níveis na composição química da carcaça (Tabela 2). </w:t>
      </w:r>
      <w:r w:rsidRPr="008F3774">
        <w:rPr>
          <w:rFonts w:eastAsiaTheme="minorHAnsi"/>
          <w:szCs w:val="24"/>
        </w:rPr>
        <w:t>Resultados semelhantes, foram relatadas por Martinelli et al. (2013), onde não observaram influência da densidade de cultivo na composição centesimal de juvenis de jundiás (</w:t>
      </w:r>
      <w:r w:rsidRPr="008F3774">
        <w:rPr>
          <w:rFonts w:eastAsiaTheme="minorHAnsi"/>
          <w:i/>
          <w:iCs/>
          <w:szCs w:val="24"/>
        </w:rPr>
        <w:t>Rhamdia quelen</w:t>
      </w:r>
      <w:r w:rsidRPr="008F3774">
        <w:rPr>
          <w:rFonts w:eastAsiaTheme="minorHAnsi"/>
          <w:szCs w:val="24"/>
        </w:rPr>
        <w:t xml:space="preserve">) inteiros. </w:t>
      </w:r>
    </w:p>
    <w:p w:rsidR="00DA68D9" w:rsidRPr="008F3774" w:rsidRDefault="00DA68D9" w:rsidP="00DA68D9">
      <w:pPr>
        <w:autoSpaceDE w:val="0"/>
        <w:autoSpaceDN w:val="0"/>
        <w:adjustRightInd w:val="0"/>
        <w:spacing w:after="0" w:line="240" w:lineRule="auto"/>
        <w:jc w:val="both"/>
        <w:rPr>
          <w:szCs w:val="24"/>
        </w:rPr>
      </w:pPr>
      <w:r w:rsidRPr="008F3774">
        <w:rPr>
          <w:rFonts w:eastAsiaTheme="minorHAnsi"/>
          <w:szCs w:val="24"/>
        </w:rPr>
        <w:tab/>
      </w:r>
    </w:p>
    <w:p w:rsidR="00DA68D9" w:rsidRPr="008F3774" w:rsidRDefault="00DA68D9" w:rsidP="00DA68D9">
      <w:pPr>
        <w:spacing w:after="0" w:line="240" w:lineRule="auto"/>
        <w:jc w:val="both"/>
        <w:rPr>
          <w:szCs w:val="24"/>
        </w:rPr>
      </w:pPr>
      <w:r w:rsidRPr="008F3774">
        <w:rPr>
          <w:szCs w:val="24"/>
        </w:rPr>
        <w:t xml:space="preserve">Tabela 2. Composição centesimal da carcaça do jundiá criados em tanque redes em diferentes níveis de estocagem. </w:t>
      </w:r>
    </w:p>
    <w:tbl>
      <w:tblPr>
        <w:tblStyle w:val="Tabelacomgrade"/>
        <w:tblW w:w="9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4"/>
        <w:gridCol w:w="1164"/>
        <w:gridCol w:w="1164"/>
        <w:gridCol w:w="1149"/>
        <w:gridCol w:w="1190"/>
        <w:gridCol w:w="1044"/>
        <w:gridCol w:w="1410"/>
      </w:tblGrid>
      <w:tr w:rsidR="00DA68D9" w:rsidRPr="008F3774" w:rsidTr="008F3774">
        <w:trPr>
          <w:trHeight w:val="244"/>
          <w:jc w:val="center"/>
        </w:trPr>
        <w:tc>
          <w:tcPr>
            <w:tcW w:w="2624" w:type="dxa"/>
            <w:vMerge w:val="restart"/>
            <w:tcBorders>
              <w:top w:val="single" w:sz="4" w:space="0" w:color="auto"/>
            </w:tcBorders>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Parâmetros</w:t>
            </w:r>
          </w:p>
        </w:tc>
        <w:tc>
          <w:tcPr>
            <w:tcW w:w="5711" w:type="dxa"/>
            <w:gridSpan w:val="5"/>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Densidade de estocagem (peixes/m³)</w:t>
            </w:r>
          </w:p>
        </w:tc>
        <w:tc>
          <w:tcPr>
            <w:tcW w:w="1410" w:type="dxa"/>
            <w:vMerge w:val="restart"/>
            <w:tcBorders>
              <w:top w:val="single" w:sz="4" w:space="0" w:color="auto"/>
            </w:tcBorders>
            <w:vAlign w:val="center"/>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Valor de P</w:t>
            </w:r>
          </w:p>
        </w:tc>
      </w:tr>
      <w:tr w:rsidR="00DA68D9" w:rsidRPr="008F3774" w:rsidTr="008F3774">
        <w:trPr>
          <w:trHeight w:val="230"/>
          <w:jc w:val="center"/>
        </w:trPr>
        <w:tc>
          <w:tcPr>
            <w:tcW w:w="2624" w:type="dxa"/>
            <w:vMerge/>
            <w:tcBorders>
              <w:bottom w:val="single" w:sz="4" w:space="0" w:color="auto"/>
            </w:tcBorders>
          </w:tcPr>
          <w:p w:rsidR="00DA68D9" w:rsidRPr="008F3774" w:rsidRDefault="00DA68D9" w:rsidP="00D341F1">
            <w:pPr>
              <w:spacing w:after="0" w:line="240" w:lineRule="auto"/>
              <w:rPr>
                <w:rFonts w:ascii="Times New Roman" w:hAnsi="Times New Roman" w:cs="Times New Roman"/>
                <w:szCs w:val="24"/>
              </w:rPr>
            </w:pPr>
          </w:p>
        </w:tc>
        <w:tc>
          <w:tcPr>
            <w:tcW w:w="1164"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100</w:t>
            </w:r>
          </w:p>
        </w:tc>
        <w:tc>
          <w:tcPr>
            <w:tcW w:w="1164"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200</w:t>
            </w:r>
          </w:p>
        </w:tc>
        <w:tc>
          <w:tcPr>
            <w:tcW w:w="1149"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300</w:t>
            </w:r>
          </w:p>
        </w:tc>
        <w:tc>
          <w:tcPr>
            <w:tcW w:w="1190"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400</w:t>
            </w:r>
          </w:p>
        </w:tc>
        <w:tc>
          <w:tcPr>
            <w:tcW w:w="1041" w:type="dxa"/>
            <w:tcBorders>
              <w:top w:val="single" w:sz="4" w:space="0" w:color="auto"/>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500</w:t>
            </w:r>
          </w:p>
        </w:tc>
        <w:tc>
          <w:tcPr>
            <w:tcW w:w="1410" w:type="dxa"/>
            <w:vMerge/>
            <w:tcBorders>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p>
        </w:tc>
      </w:tr>
      <w:tr w:rsidR="00DA68D9" w:rsidRPr="008F3774" w:rsidTr="008F3774">
        <w:trPr>
          <w:trHeight w:val="244"/>
          <w:jc w:val="center"/>
        </w:trPr>
        <w:tc>
          <w:tcPr>
            <w:tcW w:w="2624" w:type="dxa"/>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Umidade</w:t>
            </w:r>
          </w:p>
        </w:tc>
        <w:tc>
          <w:tcPr>
            <w:tcW w:w="1164"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75,84±</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1,44</w:t>
            </w:r>
          </w:p>
        </w:tc>
        <w:tc>
          <w:tcPr>
            <w:tcW w:w="1164"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75,69±</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1,45</w:t>
            </w:r>
          </w:p>
        </w:tc>
        <w:tc>
          <w:tcPr>
            <w:tcW w:w="1149"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76,44±</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1,58</w:t>
            </w:r>
          </w:p>
        </w:tc>
        <w:tc>
          <w:tcPr>
            <w:tcW w:w="1190"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75,76±</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1,58</w:t>
            </w:r>
          </w:p>
        </w:tc>
        <w:tc>
          <w:tcPr>
            <w:tcW w:w="1041"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75,22±</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1,87</w:t>
            </w:r>
          </w:p>
        </w:tc>
        <w:tc>
          <w:tcPr>
            <w:tcW w:w="1410" w:type="dxa"/>
            <w:vAlign w:val="center"/>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0,7369</w:t>
            </w:r>
          </w:p>
        </w:tc>
      </w:tr>
      <w:tr w:rsidR="00DA68D9" w:rsidRPr="008F3774" w:rsidTr="008F3774">
        <w:trPr>
          <w:trHeight w:val="83"/>
          <w:jc w:val="center"/>
        </w:trPr>
        <w:tc>
          <w:tcPr>
            <w:tcW w:w="2624" w:type="dxa"/>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 xml:space="preserve">Proteína bruta </w:t>
            </w:r>
          </w:p>
        </w:tc>
        <w:tc>
          <w:tcPr>
            <w:tcW w:w="1164"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15,36±</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1,06</w:t>
            </w:r>
          </w:p>
        </w:tc>
        <w:tc>
          <w:tcPr>
            <w:tcW w:w="1164"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15,81±</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1,22</w:t>
            </w:r>
          </w:p>
        </w:tc>
        <w:tc>
          <w:tcPr>
            <w:tcW w:w="1149"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14,97±</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0,65</w:t>
            </w:r>
          </w:p>
        </w:tc>
        <w:tc>
          <w:tcPr>
            <w:tcW w:w="1190"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15,20±</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1,29</w:t>
            </w:r>
          </w:p>
        </w:tc>
        <w:tc>
          <w:tcPr>
            <w:tcW w:w="1041"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13,70±</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1,06</w:t>
            </w:r>
          </w:p>
        </w:tc>
        <w:tc>
          <w:tcPr>
            <w:tcW w:w="1410" w:type="dxa"/>
            <w:vAlign w:val="center"/>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0,2609</w:t>
            </w:r>
          </w:p>
        </w:tc>
      </w:tr>
      <w:tr w:rsidR="00DA68D9" w:rsidRPr="008F3774" w:rsidTr="008F3774">
        <w:trPr>
          <w:trHeight w:val="244"/>
          <w:jc w:val="center"/>
        </w:trPr>
        <w:tc>
          <w:tcPr>
            <w:tcW w:w="2624" w:type="dxa"/>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Matéria mineral</w:t>
            </w:r>
          </w:p>
        </w:tc>
        <w:tc>
          <w:tcPr>
            <w:tcW w:w="1164"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2,76±</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0,16</w:t>
            </w:r>
          </w:p>
        </w:tc>
        <w:tc>
          <w:tcPr>
            <w:tcW w:w="1164"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3,05±</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0,14</w:t>
            </w:r>
          </w:p>
        </w:tc>
        <w:tc>
          <w:tcPr>
            <w:tcW w:w="1149"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2,94±</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0,20</w:t>
            </w:r>
          </w:p>
        </w:tc>
        <w:tc>
          <w:tcPr>
            <w:tcW w:w="1190"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2,79±</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0,12</w:t>
            </w:r>
          </w:p>
        </w:tc>
        <w:tc>
          <w:tcPr>
            <w:tcW w:w="1041" w:type="dxa"/>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3,03±</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0,23</w:t>
            </w:r>
          </w:p>
        </w:tc>
        <w:tc>
          <w:tcPr>
            <w:tcW w:w="1410" w:type="dxa"/>
            <w:vAlign w:val="center"/>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0,0580</w:t>
            </w:r>
          </w:p>
        </w:tc>
      </w:tr>
      <w:tr w:rsidR="00DA68D9" w:rsidRPr="008F3774" w:rsidTr="008F3774">
        <w:trPr>
          <w:trHeight w:val="230"/>
          <w:jc w:val="center"/>
        </w:trPr>
        <w:tc>
          <w:tcPr>
            <w:tcW w:w="2624" w:type="dxa"/>
            <w:tcBorders>
              <w:bottom w:val="single" w:sz="4" w:space="0" w:color="auto"/>
            </w:tcBorders>
            <w:vAlign w:val="center"/>
          </w:tcPr>
          <w:p w:rsidR="00DA68D9" w:rsidRPr="008F3774" w:rsidRDefault="00DA68D9" w:rsidP="00D341F1">
            <w:pPr>
              <w:spacing w:after="0" w:line="240" w:lineRule="auto"/>
              <w:rPr>
                <w:rFonts w:ascii="Times New Roman" w:hAnsi="Times New Roman" w:cs="Times New Roman"/>
                <w:szCs w:val="24"/>
              </w:rPr>
            </w:pPr>
            <w:r w:rsidRPr="008F3774">
              <w:rPr>
                <w:rFonts w:ascii="Times New Roman" w:hAnsi="Times New Roman" w:cs="Times New Roman"/>
                <w:szCs w:val="24"/>
              </w:rPr>
              <w:t xml:space="preserve">Lipídeos </w:t>
            </w:r>
          </w:p>
        </w:tc>
        <w:tc>
          <w:tcPr>
            <w:tcW w:w="1164" w:type="dxa"/>
            <w:tcBorders>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7,32±</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0,80</w:t>
            </w:r>
          </w:p>
        </w:tc>
        <w:tc>
          <w:tcPr>
            <w:tcW w:w="1164" w:type="dxa"/>
            <w:tcBorders>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6,92±</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1,17</w:t>
            </w:r>
          </w:p>
        </w:tc>
        <w:tc>
          <w:tcPr>
            <w:tcW w:w="1149" w:type="dxa"/>
            <w:tcBorders>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6,91±</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1,47</w:t>
            </w:r>
          </w:p>
        </w:tc>
        <w:tc>
          <w:tcPr>
            <w:tcW w:w="1190" w:type="dxa"/>
            <w:tcBorders>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7,64±</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0,56</w:t>
            </w:r>
          </w:p>
        </w:tc>
        <w:tc>
          <w:tcPr>
            <w:tcW w:w="1041" w:type="dxa"/>
            <w:tcBorders>
              <w:bottom w:val="single" w:sz="4" w:space="0" w:color="auto"/>
            </w:tcBorders>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6,28±</w:t>
            </w:r>
          </w:p>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1,26</w:t>
            </w:r>
          </w:p>
        </w:tc>
        <w:tc>
          <w:tcPr>
            <w:tcW w:w="1410" w:type="dxa"/>
            <w:tcBorders>
              <w:bottom w:val="single" w:sz="4" w:space="0" w:color="auto"/>
            </w:tcBorders>
            <w:vAlign w:val="center"/>
          </w:tcPr>
          <w:p w:rsidR="00DA68D9" w:rsidRPr="008F3774" w:rsidRDefault="00DA68D9" w:rsidP="00D341F1">
            <w:pPr>
              <w:spacing w:after="0" w:line="240" w:lineRule="auto"/>
              <w:jc w:val="center"/>
              <w:rPr>
                <w:rFonts w:ascii="Times New Roman" w:hAnsi="Times New Roman" w:cs="Times New Roman"/>
                <w:szCs w:val="24"/>
              </w:rPr>
            </w:pPr>
            <w:r w:rsidRPr="008F3774">
              <w:rPr>
                <w:rFonts w:ascii="Times New Roman" w:hAnsi="Times New Roman" w:cs="Times New Roman"/>
                <w:szCs w:val="24"/>
              </w:rPr>
              <w:t>0,6627</w:t>
            </w:r>
          </w:p>
        </w:tc>
      </w:tr>
    </w:tbl>
    <w:p w:rsidR="00D66241" w:rsidRPr="008F3774" w:rsidRDefault="00C86FAA" w:rsidP="00D66241">
      <w:pPr>
        <w:spacing w:after="0" w:line="240" w:lineRule="auto"/>
        <w:ind w:firstLine="539"/>
        <w:jc w:val="both"/>
        <w:rPr>
          <w:color w:val="000000"/>
          <w:szCs w:val="24"/>
        </w:rPr>
      </w:pPr>
      <w:r w:rsidRPr="008F3774">
        <w:rPr>
          <w:color w:val="000000"/>
          <w:szCs w:val="24"/>
        </w:rPr>
        <w:t xml:space="preserve"> </w:t>
      </w:r>
    </w:p>
    <w:p w:rsidR="00D66241" w:rsidRPr="008F3774" w:rsidRDefault="00D66241" w:rsidP="00D66241">
      <w:pPr>
        <w:spacing w:after="0" w:line="240" w:lineRule="auto"/>
        <w:ind w:firstLine="539"/>
        <w:jc w:val="both"/>
        <w:rPr>
          <w:color w:val="000000"/>
          <w:szCs w:val="24"/>
        </w:rPr>
      </w:pPr>
    </w:p>
    <w:p w:rsidR="00376441" w:rsidRPr="008F3774" w:rsidRDefault="0084602C" w:rsidP="00D66241">
      <w:pPr>
        <w:spacing w:after="0" w:line="240" w:lineRule="auto"/>
        <w:jc w:val="both"/>
        <w:rPr>
          <w:b/>
          <w:szCs w:val="24"/>
        </w:rPr>
      </w:pPr>
      <w:r w:rsidRPr="008F3774">
        <w:rPr>
          <w:b/>
          <w:szCs w:val="24"/>
        </w:rPr>
        <w:t>4- CONCLUSÃO</w:t>
      </w:r>
    </w:p>
    <w:p w:rsidR="00C86FAA" w:rsidRPr="008F3774" w:rsidRDefault="00C86FAA" w:rsidP="00D66241">
      <w:pPr>
        <w:spacing w:after="0" w:line="240" w:lineRule="auto"/>
        <w:ind w:firstLine="708"/>
        <w:jc w:val="both"/>
        <w:rPr>
          <w:color w:val="000000"/>
          <w:szCs w:val="24"/>
        </w:rPr>
      </w:pPr>
    </w:p>
    <w:p w:rsidR="00C86FAA" w:rsidRPr="008F3774" w:rsidRDefault="00DA68D9" w:rsidP="00D66241">
      <w:pPr>
        <w:spacing w:after="0" w:line="240" w:lineRule="auto"/>
        <w:ind w:firstLine="567"/>
        <w:jc w:val="both"/>
        <w:rPr>
          <w:szCs w:val="24"/>
        </w:rPr>
      </w:pPr>
      <w:r w:rsidRPr="008F3774">
        <w:rPr>
          <w:szCs w:val="24"/>
        </w:rPr>
        <w:t>Pode-se utilizar a densidade de estocagem de 500 alevinos/m</w:t>
      </w:r>
      <w:r w:rsidRPr="008F3774">
        <w:rPr>
          <w:szCs w:val="24"/>
          <w:vertAlign w:val="superscript"/>
        </w:rPr>
        <w:t xml:space="preserve">3 </w:t>
      </w:r>
      <w:r w:rsidRPr="008F3774">
        <w:rPr>
          <w:szCs w:val="24"/>
        </w:rPr>
        <w:t>cultivado em tanque rede, sem comprometer o desempenho produtivo dos peixes</w:t>
      </w:r>
      <w:r w:rsidR="00C86FAA" w:rsidRPr="008F3774">
        <w:rPr>
          <w:color w:val="000000"/>
          <w:szCs w:val="24"/>
        </w:rPr>
        <w:t>.</w:t>
      </w:r>
    </w:p>
    <w:p w:rsidR="00376441" w:rsidRPr="008F3774" w:rsidRDefault="00376441" w:rsidP="00D66241">
      <w:pPr>
        <w:pStyle w:val="Ttulo1"/>
        <w:spacing w:before="0" w:after="0"/>
        <w:jc w:val="both"/>
        <w:rPr>
          <w:rFonts w:ascii="Times New Roman" w:hAnsi="Times New Roman" w:cs="Times New Roman"/>
          <w:caps/>
          <w:sz w:val="24"/>
          <w:szCs w:val="24"/>
        </w:rPr>
      </w:pPr>
    </w:p>
    <w:p w:rsidR="00376441" w:rsidRPr="008F3774" w:rsidRDefault="0084602C" w:rsidP="00D66241">
      <w:pPr>
        <w:pStyle w:val="Ttulo1"/>
        <w:spacing w:before="0" w:after="0"/>
        <w:jc w:val="both"/>
        <w:rPr>
          <w:rFonts w:ascii="Times New Roman" w:hAnsi="Times New Roman" w:cs="Times New Roman"/>
          <w:sz w:val="24"/>
          <w:szCs w:val="24"/>
        </w:rPr>
      </w:pPr>
      <w:r w:rsidRPr="008F3774">
        <w:rPr>
          <w:rFonts w:ascii="Times New Roman" w:hAnsi="Times New Roman" w:cs="Times New Roman"/>
          <w:sz w:val="24"/>
          <w:szCs w:val="24"/>
        </w:rPr>
        <w:t>5- AGRADECIMENTOS</w:t>
      </w:r>
    </w:p>
    <w:p w:rsidR="00376441" w:rsidRPr="008F3774" w:rsidRDefault="00376441" w:rsidP="00D66241">
      <w:pPr>
        <w:pStyle w:val="Ttulo1"/>
        <w:spacing w:before="0" w:after="0"/>
        <w:jc w:val="both"/>
        <w:rPr>
          <w:rFonts w:ascii="Times New Roman" w:hAnsi="Times New Roman" w:cs="Times New Roman"/>
          <w:caps/>
          <w:sz w:val="24"/>
          <w:szCs w:val="24"/>
        </w:rPr>
      </w:pPr>
    </w:p>
    <w:p w:rsidR="00DA68D9" w:rsidRPr="008F3774" w:rsidRDefault="00DA68D9" w:rsidP="00DA68D9">
      <w:pPr>
        <w:spacing w:after="0" w:line="240" w:lineRule="auto"/>
        <w:ind w:firstLine="567"/>
        <w:jc w:val="both"/>
        <w:rPr>
          <w:color w:val="000000"/>
          <w:szCs w:val="24"/>
        </w:rPr>
      </w:pPr>
      <w:r w:rsidRPr="008F3774">
        <w:rPr>
          <w:szCs w:val="24"/>
          <w:shd w:val="clear" w:color="auto" w:fill="FFFFFF"/>
        </w:rPr>
        <w:t>Ao, Instituto Federal do Paraná, Conselho Nacional de Desenvolvimento Científico e Tecnológico/CNPq e Itaipu Binacional</w:t>
      </w:r>
      <w:r w:rsidRPr="008F3774">
        <w:rPr>
          <w:color w:val="000000"/>
          <w:szCs w:val="24"/>
        </w:rPr>
        <w:t>.</w:t>
      </w:r>
    </w:p>
    <w:p w:rsidR="00C86FAA" w:rsidRPr="008F3774" w:rsidRDefault="00C86FAA" w:rsidP="00D66241">
      <w:pPr>
        <w:spacing w:after="0" w:line="240" w:lineRule="auto"/>
        <w:ind w:firstLine="284"/>
        <w:jc w:val="both"/>
        <w:rPr>
          <w:szCs w:val="24"/>
          <w:lang w:eastAsia="pt-BR"/>
        </w:rPr>
      </w:pPr>
    </w:p>
    <w:p w:rsidR="00376441" w:rsidRPr="008F3774" w:rsidRDefault="0084602C" w:rsidP="00D66241">
      <w:pPr>
        <w:pStyle w:val="Ttulo1"/>
        <w:spacing w:before="0" w:after="0"/>
        <w:jc w:val="both"/>
        <w:rPr>
          <w:rFonts w:ascii="Times New Roman" w:hAnsi="Times New Roman" w:cs="Times New Roman"/>
          <w:sz w:val="24"/>
          <w:szCs w:val="24"/>
        </w:rPr>
      </w:pPr>
      <w:r w:rsidRPr="008F3774">
        <w:rPr>
          <w:rFonts w:ascii="Times New Roman" w:hAnsi="Times New Roman" w:cs="Times New Roman"/>
          <w:sz w:val="24"/>
          <w:szCs w:val="24"/>
        </w:rPr>
        <w:t>6- REFERÊNCIA BIBLIOGRÁFICA</w:t>
      </w:r>
    </w:p>
    <w:p w:rsidR="00FF2504" w:rsidRDefault="00FF2504" w:rsidP="00A36148">
      <w:pPr>
        <w:autoSpaceDE w:val="0"/>
        <w:autoSpaceDN w:val="0"/>
        <w:adjustRightInd w:val="0"/>
        <w:spacing w:after="0" w:line="240" w:lineRule="auto"/>
        <w:jc w:val="both"/>
        <w:rPr>
          <w:szCs w:val="24"/>
        </w:rPr>
      </w:pPr>
      <w:bookmarkStart w:id="2" w:name="page69"/>
      <w:bookmarkEnd w:id="2"/>
    </w:p>
    <w:p w:rsidR="00DA68D9" w:rsidRPr="00FF2504" w:rsidRDefault="00DA68D9" w:rsidP="00A36148">
      <w:pPr>
        <w:autoSpaceDE w:val="0"/>
        <w:autoSpaceDN w:val="0"/>
        <w:adjustRightInd w:val="0"/>
        <w:spacing w:after="0" w:line="240" w:lineRule="auto"/>
        <w:jc w:val="both"/>
        <w:rPr>
          <w:szCs w:val="24"/>
        </w:rPr>
      </w:pPr>
      <w:r w:rsidRPr="00FF2504">
        <w:rPr>
          <w:szCs w:val="24"/>
        </w:rPr>
        <w:t xml:space="preserve">ARAUJO, G.S.; SILVA, J.W.A.; MOREIRA, T.S.; MACIEL, R.L.; FARIAS, W.R.L. Cultivo da tilápia do Nilo em tanques-rede circulares e quadrangulares em duas densidades de estocagem. </w:t>
      </w:r>
      <w:r w:rsidRPr="00FF2504">
        <w:rPr>
          <w:b/>
          <w:szCs w:val="24"/>
          <w:shd w:val="clear" w:color="auto" w:fill="FFFFFF"/>
        </w:rPr>
        <w:t>Bioscience Journal</w:t>
      </w:r>
      <w:r w:rsidRPr="00FF2504">
        <w:rPr>
          <w:szCs w:val="24"/>
        </w:rPr>
        <w:t>, Uberlandia, v.27, n.5, p.805-812, 2011.</w:t>
      </w:r>
    </w:p>
    <w:p w:rsidR="00DA68D9" w:rsidRPr="00FF2504" w:rsidRDefault="00DA68D9" w:rsidP="00A36148">
      <w:pPr>
        <w:spacing w:after="0" w:line="240" w:lineRule="auto"/>
        <w:jc w:val="both"/>
        <w:rPr>
          <w:szCs w:val="24"/>
          <w:lang w:val="en-US"/>
        </w:rPr>
      </w:pPr>
      <w:r w:rsidRPr="00FF2504">
        <w:rPr>
          <w:szCs w:val="24"/>
          <w:lang w:val="en-US"/>
        </w:rPr>
        <w:t xml:space="preserve">ASSOCIATION OF OFFICIAL ANALYTICAL CH EMISTRY – AOAC. </w:t>
      </w:r>
      <w:r w:rsidRPr="00FF2504">
        <w:rPr>
          <w:b/>
          <w:bCs/>
          <w:szCs w:val="24"/>
          <w:lang w:val="en-US"/>
        </w:rPr>
        <w:t xml:space="preserve">Official Methods of Analysis of the AOAC. </w:t>
      </w:r>
      <w:r w:rsidRPr="00FF2504">
        <w:rPr>
          <w:szCs w:val="24"/>
          <w:lang w:val="en-US"/>
        </w:rPr>
        <w:t xml:space="preserve">18.ed. Gaithersburg, M.D, USA, 2005. </w:t>
      </w:r>
    </w:p>
    <w:p w:rsidR="00DA68D9" w:rsidRPr="00FF2504" w:rsidRDefault="00DA68D9" w:rsidP="00A36148">
      <w:pPr>
        <w:autoSpaceDE w:val="0"/>
        <w:autoSpaceDN w:val="0"/>
        <w:adjustRightInd w:val="0"/>
        <w:spacing w:after="0" w:line="240" w:lineRule="auto"/>
        <w:jc w:val="both"/>
        <w:rPr>
          <w:szCs w:val="24"/>
        </w:rPr>
      </w:pPr>
      <w:r w:rsidRPr="00FF2504">
        <w:rPr>
          <w:szCs w:val="24"/>
        </w:rPr>
        <w:t xml:space="preserve">AYROZA, L. M. S.; ROMAGOSA, E.; AYROZA, D. M. M. R.; SCORVO FILHO J. D.; SALLES, F. A. Custos e rentabilidade da produção de juvenis de tilápia-do-nilo em tanques-rede utilizando-se diferentes densidades de estocagem. </w:t>
      </w:r>
      <w:r w:rsidRPr="00FF2504">
        <w:rPr>
          <w:b/>
          <w:bCs/>
          <w:szCs w:val="24"/>
        </w:rPr>
        <w:t>Revista Brasileira de Zootecnia</w:t>
      </w:r>
      <w:r w:rsidRPr="00FF2504">
        <w:rPr>
          <w:szCs w:val="24"/>
        </w:rPr>
        <w:t>, v.40, n.2, p.231-239, 2011.</w:t>
      </w:r>
    </w:p>
    <w:p w:rsidR="00DA68D9" w:rsidRPr="00FF2504" w:rsidRDefault="00DA68D9" w:rsidP="00A36148">
      <w:pPr>
        <w:autoSpaceDE w:val="0"/>
        <w:autoSpaceDN w:val="0"/>
        <w:adjustRightInd w:val="0"/>
        <w:spacing w:after="0" w:line="240" w:lineRule="auto"/>
        <w:jc w:val="both"/>
        <w:rPr>
          <w:rFonts w:eastAsiaTheme="minorHAnsi"/>
          <w:szCs w:val="24"/>
        </w:rPr>
      </w:pPr>
      <w:r w:rsidRPr="00FF2504">
        <w:rPr>
          <w:szCs w:val="24"/>
          <w:shd w:val="clear" w:color="auto" w:fill="FFFFFF"/>
        </w:rPr>
        <w:t>BITTENCOURT, F.; FEIDEN, A.; SIGNOR, A.A.; BOSCOLO, W.R.; LORENZ, E.K.; MALUF, M.L.F. Densidade de estocagem e parâmetros eritrocitários de pacus criados em tanques-rede.</w:t>
      </w:r>
      <w:r w:rsidRPr="00FF2504">
        <w:rPr>
          <w:rStyle w:val="apple-converted-space"/>
          <w:szCs w:val="24"/>
          <w:shd w:val="clear" w:color="auto" w:fill="FFFFFF"/>
        </w:rPr>
        <w:t> </w:t>
      </w:r>
      <w:r w:rsidRPr="00FF2504">
        <w:rPr>
          <w:b/>
          <w:bCs/>
          <w:szCs w:val="24"/>
          <w:shd w:val="clear" w:color="auto" w:fill="FFFFFF"/>
        </w:rPr>
        <w:t>Revista Brasileira de Zootecnia</w:t>
      </w:r>
      <w:r w:rsidRPr="00FF2504">
        <w:rPr>
          <w:szCs w:val="24"/>
          <w:shd w:val="clear" w:color="auto" w:fill="FFFFFF"/>
        </w:rPr>
        <w:t>, v.39, p.2323-2329, 2010.</w:t>
      </w:r>
    </w:p>
    <w:p w:rsidR="00DA68D9" w:rsidRPr="00FF2504" w:rsidRDefault="00DA68D9" w:rsidP="00A36148">
      <w:pPr>
        <w:widowControl w:val="0"/>
        <w:overflowPunct w:val="0"/>
        <w:autoSpaceDE w:val="0"/>
        <w:autoSpaceDN w:val="0"/>
        <w:adjustRightInd w:val="0"/>
        <w:spacing w:after="0" w:line="240" w:lineRule="auto"/>
        <w:jc w:val="both"/>
        <w:rPr>
          <w:szCs w:val="24"/>
        </w:rPr>
      </w:pPr>
      <w:r w:rsidRPr="00FF2504">
        <w:rPr>
          <w:szCs w:val="24"/>
          <w:lang w:val="en-US"/>
        </w:rPr>
        <w:t xml:space="preserve">BOCKMANN, F.A.; GUAZZELLI, G.M. Family Heptapteridae. In: REIS, R.E.; KULLANDER, S.O.; FERRARIS JUNIOR, C.J. </w:t>
      </w:r>
      <w:r w:rsidRPr="00FF2504">
        <w:rPr>
          <w:b/>
          <w:bCs/>
          <w:szCs w:val="24"/>
          <w:lang w:val="en-US"/>
        </w:rPr>
        <w:t>Check list of the freshwater</w:t>
      </w:r>
      <w:r w:rsidRPr="00FF2504">
        <w:rPr>
          <w:szCs w:val="24"/>
          <w:lang w:val="en-US"/>
        </w:rPr>
        <w:t xml:space="preserve"> </w:t>
      </w:r>
      <w:r w:rsidRPr="00FF2504">
        <w:rPr>
          <w:b/>
          <w:bCs/>
          <w:szCs w:val="24"/>
          <w:lang w:val="en-US"/>
        </w:rPr>
        <w:t xml:space="preserve">fishes of south and Central America. </w:t>
      </w:r>
      <w:r w:rsidRPr="00FF2504">
        <w:rPr>
          <w:szCs w:val="24"/>
        </w:rPr>
        <w:t>Porto Alegre: EDIPUCRS, p.406-431,</w:t>
      </w:r>
      <w:r w:rsidRPr="00FF2504">
        <w:rPr>
          <w:b/>
          <w:bCs/>
          <w:szCs w:val="24"/>
        </w:rPr>
        <w:t xml:space="preserve"> </w:t>
      </w:r>
      <w:r w:rsidRPr="00FF2504">
        <w:rPr>
          <w:szCs w:val="24"/>
        </w:rPr>
        <w:t>2003.</w:t>
      </w:r>
    </w:p>
    <w:p w:rsidR="00DA68D9" w:rsidRPr="00FF2504" w:rsidRDefault="00DA68D9" w:rsidP="00A36148">
      <w:pPr>
        <w:autoSpaceDE w:val="0"/>
        <w:autoSpaceDN w:val="0"/>
        <w:adjustRightInd w:val="0"/>
        <w:spacing w:after="0" w:line="240" w:lineRule="auto"/>
        <w:jc w:val="both"/>
        <w:rPr>
          <w:szCs w:val="24"/>
        </w:rPr>
      </w:pPr>
      <w:r w:rsidRPr="00FF2504">
        <w:rPr>
          <w:szCs w:val="24"/>
          <w:shd w:val="clear" w:color="auto" w:fill="FFFFFF"/>
        </w:rPr>
        <w:t xml:space="preserve">BRANDÃO, F.R.; GOMES, L. de C.; CHAGAS, E.C.; </w:t>
      </w:r>
      <w:r w:rsidR="00E26491" w:rsidRPr="00FF2504">
        <w:rPr>
          <w:szCs w:val="24"/>
          <w:shd w:val="clear" w:color="auto" w:fill="FFFFFF"/>
        </w:rPr>
        <w:t>A</w:t>
      </w:r>
      <w:r w:rsidRPr="00FF2504">
        <w:rPr>
          <w:szCs w:val="24"/>
          <w:shd w:val="clear" w:color="auto" w:fill="FFFFFF"/>
        </w:rPr>
        <w:t>RAÚJO, L.D. de. Densidade de estocagem de juvenis de tambaqui durante a recria em tanques-rede.</w:t>
      </w:r>
      <w:r w:rsidRPr="00FF2504">
        <w:rPr>
          <w:rStyle w:val="apple-converted-space"/>
          <w:szCs w:val="24"/>
          <w:shd w:val="clear" w:color="auto" w:fill="FFFFFF"/>
        </w:rPr>
        <w:t> </w:t>
      </w:r>
      <w:r w:rsidRPr="00FF2504">
        <w:rPr>
          <w:b/>
          <w:bCs/>
          <w:szCs w:val="24"/>
          <w:shd w:val="clear" w:color="auto" w:fill="FFFFFF"/>
        </w:rPr>
        <w:t>Pesquisa Agropecuária Brasileira</w:t>
      </w:r>
      <w:r w:rsidRPr="00FF2504">
        <w:rPr>
          <w:szCs w:val="24"/>
          <w:shd w:val="clear" w:color="auto" w:fill="FFFFFF"/>
        </w:rPr>
        <w:t>, v.39, p.357-362, 2004.</w:t>
      </w:r>
    </w:p>
    <w:p w:rsidR="00DA68D9" w:rsidRPr="00FF2504" w:rsidRDefault="00950475" w:rsidP="00A36148">
      <w:pPr>
        <w:spacing w:after="0" w:line="240" w:lineRule="auto"/>
        <w:jc w:val="both"/>
        <w:rPr>
          <w:szCs w:val="24"/>
          <w:lang w:val="en-US"/>
        </w:rPr>
      </w:pPr>
      <w:r w:rsidRPr="00FF2504">
        <w:rPr>
          <w:szCs w:val="24"/>
        </w:rPr>
        <w:t xml:space="preserve">CARACIOLO, M.S.B.; COSTA, F.J.C.B.; KRUGER, S.R.; ALENCAR M.A.R. </w:t>
      </w:r>
      <w:r w:rsidR="00DA68D9" w:rsidRPr="00FF2504">
        <w:rPr>
          <w:szCs w:val="24"/>
        </w:rPr>
        <w:t>Desempenho da tilápia nilótica (</w:t>
      </w:r>
      <w:r w:rsidR="00DA68D9" w:rsidRPr="00FF2504">
        <w:rPr>
          <w:i/>
          <w:szCs w:val="24"/>
        </w:rPr>
        <w:t>Oreochromis niloticus</w:t>
      </w:r>
      <w:r w:rsidR="00DA68D9" w:rsidRPr="00FF2504">
        <w:rPr>
          <w:szCs w:val="24"/>
        </w:rPr>
        <w:t>) cultivadas em gaiolas no reservatório da UHE de xingo-piranhas – Alagoas. In: SIMPÓSIO BRASILEIRO DE AQÜICULTURA, 11., 2000, Florianópolis. Anais... Florianópolis: BMLP; 2000. CD-ROM.</w:t>
      </w:r>
    </w:p>
    <w:p w:rsidR="00DA68D9" w:rsidRPr="00FF2504" w:rsidRDefault="00DA68D9" w:rsidP="00A36148">
      <w:pPr>
        <w:autoSpaceDE w:val="0"/>
        <w:autoSpaceDN w:val="0"/>
        <w:adjustRightInd w:val="0"/>
        <w:spacing w:after="0" w:line="240" w:lineRule="auto"/>
        <w:jc w:val="both"/>
        <w:rPr>
          <w:szCs w:val="24"/>
        </w:rPr>
      </w:pPr>
      <w:r w:rsidRPr="00FF2504">
        <w:rPr>
          <w:rFonts w:eastAsiaTheme="minorHAnsi"/>
          <w:szCs w:val="24"/>
        </w:rPr>
        <w:t>CAVERO</w:t>
      </w:r>
      <w:r w:rsidRPr="00FF2504">
        <w:rPr>
          <w:rFonts w:eastAsiaTheme="minorHAnsi"/>
          <w:b/>
          <w:bCs/>
          <w:szCs w:val="24"/>
        </w:rPr>
        <w:t xml:space="preserve"> </w:t>
      </w:r>
      <w:r w:rsidRPr="00FF2504">
        <w:rPr>
          <w:rFonts w:eastAsiaTheme="minorHAnsi"/>
          <w:szCs w:val="24"/>
        </w:rPr>
        <w:t xml:space="preserve">B. A.S.; </w:t>
      </w:r>
      <w:r w:rsidRPr="00FF2504">
        <w:rPr>
          <w:szCs w:val="24"/>
        </w:rPr>
        <w:t xml:space="preserve">PEREIRA-FILHO, M.; ROUBACH, R.; ITUASSÚ, D.R.; GANDRA, A.L.; CRESCÊNCIO, R. </w:t>
      </w:r>
      <w:r w:rsidRPr="00FF2504">
        <w:rPr>
          <w:rFonts w:eastAsiaTheme="minorHAnsi"/>
          <w:bCs/>
          <w:szCs w:val="24"/>
        </w:rPr>
        <w:t>Efeito da densidade de estocagem na homogeneidade do crescimento de juvenis de pirarucu em ambiente confinado.</w:t>
      </w:r>
      <w:r w:rsidRPr="00FF2504">
        <w:rPr>
          <w:rFonts w:eastAsiaTheme="minorHAnsi"/>
          <w:b/>
          <w:bCs/>
          <w:szCs w:val="24"/>
        </w:rPr>
        <w:t xml:space="preserve"> </w:t>
      </w:r>
      <w:r w:rsidRPr="00FF2504">
        <w:rPr>
          <w:rFonts w:eastAsiaTheme="minorHAnsi"/>
          <w:b/>
          <w:szCs w:val="24"/>
        </w:rPr>
        <w:t xml:space="preserve">Pesquisa </w:t>
      </w:r>
      <w:r w:rsidR="001C5E32" w:rsidRPr="00FF2504">
        <w:rPr>
          <w:rFonts w:eastAsiaTheme="minorHAnsi"/>
          <w:b/>
          <w:szCs w:val="24"/>
        </w:rPr>
        <w:t>Agropecuária</w:t>
      </w:r>
      <w:r w:rsidRPr="00FF2504">
        <w:rPr>
          <w:rFonts w:eastAsiaTheme="minorHAnsi"/>
          <w:b/>
          <w:szCs w:val="24"/>
        </w:rPr>
        <w:t xml:space="preserve"> </w:t>
      </w:r>
      <w:r w:rsidR="001C5E32" w:rsidRPr="00FF2504">
        <w:rPr>
          <w:rFonts w:eastAsiaTheme="minorHAnsi"/>
          <w:b/>
          <w:szCs w:val="24"/>
        </w:rPr>
        <w:t>Brasileira</w:t>
      </w:r>
      <w:r w:rsidRPr="00FF2504">
        <w:rPr>
          <w:rFonts w:eastAsiaTheme="minorHAnsi"/>
          <w:b/>
          <w:szCs w:val="24"/>
        </w:rPr>
        <w:t>, Brasília</w:t>
      </w:r>
      <w:r w:rsidRPr="00FF2504">
        <w:rPr>
          <w:rFonts w:eastAsiaTheme="minorHAnsi"/>
          <w:szCs w:val="24"/>
        </w:rPr>
        <w:t>, v. 38, n. 1, p. 103-107, jan. 2003.</w:t>
      </w:r>
    </w:p>
    <w:p w:rsidR="00DA68D9" w:rsidRPr="00FF2504" w:rsidRDefault="00DA68D9" w:rsidP="00A36148">
      <w:pPr>
        <w:spacing w:after="0" w:line="240" w:lineRule="auto"/>
        <w:jc w:val="both"/>
        <w:rPr>
          <w:szCs w:val="24"/>
        </w:rPr>
      </w:pPr>
      <w:r w:rsidRPr="00FF2504">
        <w:rPr>
          <w:szCs w:val="24"/>
          <w:shd w:val="clear" w:color="auto" w:fill="FFFFFF"/>
        </w:rPr>
        <w:t>C</w:t>
      </w:r>
      <w:r w:rsidR="00E26491" w:rsidRPr="00FF2504">
        <w:rPr>
          <w:szCs w:val="24"/>
          <w:shd w:val="clear" w:color="auto" w:fill="FFFFFF"/>
        </w:rPr>
        <w:t xml:space="preserve">AVERO, B.A.S. </w:t>
      </w:r>
      <w:r w:rsidR="00E26491" w:rsidRPr="00FF2504">
        <w:rPr>
          <w:bCs/>
          <w:szCs w:val="24"/>
          <w:shd w:val="clear" w:color="auto" w:fill="FFFFFF"/>
        </w:rPr>
        <w:t>PEREIRA-FILHO, M.; ROUBACH, R.; ITUASSÚ, D.R.; GANDRA,</w:t>
      </w:r>
      <w:r w:rsidR="00E26491" w:rsidRPr="00FF2504">
        <w:rPr>
          <w:bCs/>
          <w:szCs w:val="24"/>
          <w:shd w:val="clear" w:color="auto" w:fill="FFFFFF"/>
          <w:vertAlign w:val="superscript"/>
        </w:rPr>
        <w:t xml:space="preserve"> </w:t>
      </w:r>
      <w:r w:rsidR="00E26491" w:rsidRPr="00FF2504">
        <w:rPr>
          <w:bCs/>
          <w:szCs w:val="24"/>
          <w:shd w:val="clear" w:color="auto" w:fill="FFFFFF"/>
        </w:rPr>
        <w:t>A.L.; CRESCÊNCIO, R.</w:t>
      </w:r>
      <w:r w:rsidR="00E26491" w:rsidRPr="00FF2504">
        <w:rPr>
          <w:szCs w:val="24"/>
          <w:shd w:val="clear" w:color="auto" w:fill="FFFFFF"/>
        </w:rPr>
        <w:t xml:space="preserve"> </w:t>
      </w:r>
      <w:r w:rsidRPr="00FF2504">
        <w:rPr>
          <w:szCs w:val="24"/>
          <w:shd w:val="clear" w:color="auto" w:fill="FFFFFF"/>
        </w:rPr>
        <w:t>Biomassa sustentável de juvenis de pirarucu em tanques-rede de pequeno volume.</w:t>
      </w:r>
      <w:r w:rsidRPr="00FF2504">
        <w:rPr>
          <w:rStyle w:val="apple-converted-space"/>
          <w:szCs w:val="24"/>
          <w:shd w:val="clear" w:color="auto" w:fill="FFFFFF"/>
        </w:rPr>
        <w:t> </w:t>
      </w:r>
      <w:r w:rsidRPr="00FF2504">
        <w:rPr>
          <w:b/>
          <w:bCs/>
          <w:szCs w:val="24"/>
          <w:shd w:val="clear" w:color="auto" w:fill="FFFFFF"/>
        </w:rPr>
        <w:t>Pesquisa Agropecuária Brasileira</w:t>
      </w:r>
      <w:r w:rsidRPr="00FF2504">
        <w:rPr>
          <w:szCs w:val="24"/>
          <w:shd w:val="clear" w:color="auto" w:fill="FFFFFF"/>
        </w:rPr>
        <w:t>, v.38, n.6, p.723-728, 2003.</w:t>
      </w:r>
    </w:p>
    <w:p w:rsidR="00DA68D9" w:rsidRPr="00FF2504" w:rsidRDefault="00DA68D9" w:rsidP="00A36148">
      <w:pPr>
        <w:pStyle w:val="RefernciasBibliogrficas"/>
      </w:pPr>
      <w:r w:rsidRPr="00FF2504">
        <w:rPr>
          <w:lang w:val="en-US"/>
        </w:rPr>
        <w:t>EL-SAYED, A.F.M. Effects of stocking density and feeding levels on growth and feed efficiency of nile tilapia (</w:t>
      </w:r>
      <w:r w:rsidRPr="00FF2504">
        <w:rPr>
          <w:i/>
          <w:lang w:val="en-US"/>
        </w:rPr>
        <w:t xml:space="preserve">Oreochromis niloticus </w:t>
      </w:r>
      <w:r w:rsidRPr="00FF2504">
        <w:rPr>
          <w:lang w:val="en-US"/>
        </w:rPr>
        <w:t xml:space="preserve">L.) fry. </w:t>
      </w:r>
      <w:r w:rsidRPr="00FF2504">
        <w:rPr>
          <w:b/>
          <w:bCs/>
        </w:rPr>
        <w:t>Aquaculture Research</w:t>
      </w:r>
      <w:r w:rsidRPr="00FF2504">
        <w:t>, v.33, p.621-626, 2002.</w:t>
      </w:r>
    </w:p>
    <w:p w:rsidR="00DA68D9" w:rsidRPr="00FF2504" w:rsidRDefault="00DA68D9" w:rsidP="00A36148">
      <w:pPr>
        <w:widowControl w:val="0"/>
        <w:overflowPunct w:val="0"/>
        <w:autoSpaceDE w:val="0"/>
        <w:autoSpaceDN w:val="0"/>
        <w:adjustRightInd w:val="0"/>
        <w:spacing w:after="0" w:line="240" w:lineRule="auto"/>
        <w:jc w:val="both"/>
        <w:rPr>
          <w:szCs w:val="24"/>
        </w:rPr>
      </w:pPr>
      <w:r w:rsidRPr="00FF2504">
        <w:rPr>
          <w:szCs w:val="24"/>
        </w:rPr>
        <w:t>FRACALO</w:t>
      </w:r>
      <w:r w:rsidR="00E26491" w:rsidRPr="00FF2504">
        <w:rPr>
          <w:szCs w:val="24"/>
        </w:rPr>
        <w:t xml:space="preserve">SSI, D.M.; </w:t>
      </w:r>
      <w:r w:rsidR="00E26491" w:rsidRPr="00FF2504">
        <w:rPr>
          <w:bCs/>
          <w:szCs w:val="24"/>
          <w:shd w:val="clear" w:color="auto" w:fill="FFFFFF"/>
        </w:rPr>
        <w:t xml:space="preserve">FRACALOSSI, D.M.; EVOY ZANIBONI FILHO, E.; MEURER, S. </w:t>
      </w:r>
      <w:r w:rsidRPr="00FF2504">
        <w:rPr>
          <w:szCs w:val="24"/>
        </w:rPr>
        <w:t xml:space="preserve">No rastro das espécies nativas. </w:t>
      </w:r>
      <w:r w:rsidRPr="00FF2504">
        <w:rPr>
          <w:b/>
          <w:bCs/>
          <w:szCs w:val="24"/>
        </w:rPr>
        <w:t>Panorama da Aqüicultura,</w:t>
      </w:r>
      <w:r w:rsidRPr="00FF2504">
        <w:rPr>
          <w:szCs w:val="24"/>
        </w:rPr>
        <w:t xml:space="preserve"> Rio de Janeiro, v.12, n°74, p.43-49, 2002.</w:t>
      </w:r>
    </w:p>
    <w:p w:rsidR="008012D4" w:rsidRPr="00FF2504" w:rsidRDefault="000F2732" w:rsidP="008012D4">
      <w:pPr>
        <w:widowControl w:val="0"/>
        <w:overflowPunct w:val="0"/>
        <w:autoSpaceDE w:val="0"/>
        <w:autoSpaceDN w:val="0"/>
        <w:adjustRightInd w:val="0"/>
        <w:spacing w:after="0" w:line="240" w:lineRule="auto"/>
        <w:jc w:val="both"/>
        <w:rPr>
          <w:szCs w:val="24"/>
        </w:rPr>
      </w:pPr>
      <w:r w:rsidRPr="00FF2504">
        <w:rPr>
          <w:szCs w:val="24"/>
        </w:rPr>
        <w:t xml:space="preserve">GOMES, L.C.; </w:t>
      </w:r>
      <w:r w:rsidRPr="00FF2504">
        <w:rPr>
          <w:bCs/>
          <w:szCs w:val="24"/>
          <w:shd w:val="clear" w:color="auto" w:fill="FFFFFF"/>
        </w:rPr>
        <w:t>GOLOMBIESKI</w:t>
      </w:r>
      <w:r w:rsidRPr="00FF2504">
        <w:rPr>
          <w:bCs/>
          <w:szCs w:val="24"/>
          <w:shd w:val="clear" w:color="auto" w:fill="FFFFFF"/>
          <w:vertAlign w:val="superscript"/>
        </w:rPr>
        <w:t xml:space="preserve">, </w:t>
      </w:r>
      <w:r w:rsidRPr="00FF2504">
        <w:rPr>
          <w:bCs/>
          <w:szCs w:val="24"/>
          <w:shd w:val="clear" w:color="auto" w:fill="FFFFFF"/>
        </w:rPr>
        <w:t>J.I.; GOMES, A.R.C.; BALDISSEROTTO, B.</w:t>
      </w:r>
      <w:r w:rsidRPr="00FF2504">
        <w:rPr>
          <w:b/>
          <w:bCs/>
          <w:sz w:val="27"/>
          <w:szCs w:val="27"/>
          <w:shd w:val="clear" w:color="auto" w:fill="FFFFFF"/>
        </w:rPr>
        <w:t xml:space="preserve"> </w:t>
      </w:r>
      <w:r w:rsidR="00DA68D9" w:rsidRPr="00FF2504">
        <w:rPr>
          <w:szCs w:val="24"/>
        </w:rPr>
        <w:t xml:space="preserve">Biologia do jundiá </w:t>
      </w:r>
      <w:r w:rsidR="00DA68D9" w:rsidRPr="00FF2504">
        <w:rPr>
          <w:i/>
          <w:iCs/>
          <w:szCs w:val="24"/>
        </w:rPr>
        <w:t>Rhamdia quelen</w:t>
      </w:r>
      <w:r w:rsidR="00DA68D9" w:rsidRPr="00FF2504">
        <w:rPr>
          <w:szCs w:val="24"/>
        </w:rPr>
        <w:t xml:space="preserve"> (Teleostei, Pimelodidae). </w:t>
      </w:r>
      <w:r w:rsidR="00DA68D9" w:rsidRPr="00FF2504">
        <w:rPr>
          <w:b/>
          <w:bCs/>
          <w:szCs w:val="24"/>
        </w:rPr>
        <w:t>Ciência Rural</w:t>
      </w:r>
      <w:r w:rsidR="00DA68D9" w:rsidRPr="00FF2504">
        <w:rPr>
          <w:szCs w:val="24"/>
        </w:rPr>
        <w:t>, Santa Maria, v.30, n.1, p.179-185, 2000.</w:t>
      </w:r>
    </w:p>
    <w:p w:rsidR="00DA68D9" w:rsidRPr="00FF2504" w:rsidRDefault="008012D4" w:rsidP="008012D4">
      <w:pPr>
        <w:widowControl w:val="0"/>
        <w:overflowPunct w:val="0"/>
        <w:autoSpaceDE w:val="0"/>
        <w:autoSpaceDN w:val="0"/>
        <w:adjustRightInd w:val="0"/>
        <w:spacing w:after="0" w:line="240" w:lineRule="auto"/>
        <w:jc w:val="both"/>
        <w:rPr>
          <w:szCs w:val="24"/>
          <w:lang w:val="en-US"/>
        </w:rPr>
      </w:pPr>
      <w:r w:rsidRPr="00FF2504">
        <w:rPr>
          <w:shd w:val="clear" w:color="auto" w:fill="FFFFFF"/>
        </w:rPr>
        <w:t xml:space="preserve">GOMES, L.C.; </w:t>
      </w:r>
      <w:r w:rsidRPr="00FF2504">
        <w:rPr>
          <w:bCs/>
        </w:rPr>
        <w:t xml:space="preserve">CHIPPARI-GOMES, A.R.C.; LOPES, N.P.; ARAUJO-LIMA, C.A.R.M. </w:t>
      </w:r>
      <w:r w:rsidR="00DA68D9" w:rsidRPr="00FF2504">
        <w:rPr>
          <w:szCs w:val="24"/>
          <w:shd w:val="clear" w:color="auto" w:fill="FFFFFF"/>
          <w:lang w:val="en-US"/>
        </w:rPr>
        <w:t>Efficacy of benzocaine as an anesthetic in juvenile tambaqui</w:t>
      </w:r>
      <w:r w:rsidR="00DA68D9" w:rsidRPr="00FF2504">
        <w:rPr>
          <w:rStyle w:val="apple-converted-space"/>
          <w:szCs w:val="24"/>
          <w:shd w:val="clear" w:color="auto" w:fill="FFFFFF"/>
          <w:lang w:val="en-US"/>
        </w:rPr>
        <w:t> </w:t>
      </w:r>
      <w:r w:rsidR="00DA68D9" w:rsidRPr="00FF2504">
        <w:rPr>
          <w:i/>
          <w:iCs/>
          <w:szCs w:val="24"/>
          <w:shd w:val="clear" w:color="auto" w:fill="FFFFFF"/>
          <w:lang w:val="en-US"/>
        </w:rPr>
        <w:t>Colossoma macropomum</w:t>
      </w:r>
      <w:r w:rsidR="00DA68D9" w:rsidRPr="00FF2504">
        <w:rPr>
          <w:szCs w:val="24"/>
          <w:shd w:val="clear" w:color="auto" w:fill="FFFFFF"/>
          <w:lang w:val="en-US"/>
        </w:rPr>
        <w:t>.</w:t>
      </w:r>
      <w:r w:rsidR="00DA68D9" w:rsidRPr="00FF2504">
        <w:rPr>
          <w:rStyle w:val="apple-converted-space"/>
          <w:szCs w:val="24"/>
          <w:shd w:val="clear" w:color="auto" w:fill="FFFFFF"/>
          <w:lang w:val="en-US"/>
        </w:rPr>
        <w:t> </w:t>
      </w:r>
      <w:r w:rsidR="00DA68D9" w:rsidRPr="00FF2504">
        <w:rPr>
          <w:b/>
          <w:bCs/>
          <w:szCs w:val="24"/>
          <w:shd w:val="clear" w:color="auto" w:fill="FFFFFF"/>
          <w:lang w:val="en-US"/>
        </w:rPr>
        <w:t>Journal of the World Aquaculture Society</w:t>
      </w:r>
      <w:r w:rsidR="00DA68D9" w:rsidRPr="00FF2504">
        <w:rPr>
          <w:szCs w:val="24"/>
          <w:shd w:val="clear" w:color="auto" w:fill="FFFFFF"/>
          <w:lang w:val="en-US"/>
        </w:rPr>
        <w:t xml:space="preserve">, v.32, p.426-431, 2001. </w:t>
      </w:r>
    </w:p>
    <w:p w:rsidR="00FF2504" w:rsidRPr="00FF2504" w:rsidRDefault="00FF2504" w:rsidP="00FF2504">
      <w:pPr>
        <w:pStyle w:val="RefernciasBibliogrficas"/>
      </w:pPr>
      <w:r w:rsidRPr="00FF2504">
        <w:rPr>
          <w:lang w:val="es-ES_tradnl"/>
        </w:rPr>
        <w:t xml:space="preserve">IGUCHI, K.; </w:t>
      </w:r>
      <w:bookmarkStart w:id="3" w:name="baep-author-id7"/>
      <w:r w:rsidRPr="00FF2504">
        <w:fldChar w:fldCharType="begin"/>
      </w:r>
      <w:r w:rsidRPr="00FF2504">
        <w:instrText xml:space="preserve"> HYPERLINK "http://www.sciencedirect.com/science/article/pii/S0044848602006269" \l "!" </w:instrText>
      </w:r>
      <w:r w:rsidRPr="00FF2504">
        <w:fldChar w:fldCharType="separate"/>
      </w:r>
      <w:r w:rsidRPr="00FF2504">
        <w:rPr>
          <w:rStyle w:val="text"/>
        </w:rPr>
        <w:t xml:space="preserve">OGAWA, K.; </w:t>
      </w:r>
      <w:r w:rsidRPr="00FF2504">
        <w:fldChar w:fldCharType="end"/>
      </w:r>
      <w:bookmarkStart w:id="4" w:name="baep-author-id8"/>
      <w:bookmarkEnd w:id="3"/>
      <w:r w:rsidRPr="00FF2504">
        <w:rPr>
          <w:rStyle w:val="text"/>
        </w:rPr>
        <w:t xml:space="preserve">MASAKINAGAE, M.; </w:t>
      </w:r>
      <w:bookmarkStart w:id="5" w:name="baep-author-id9"/>
      <w:bookmarkEnd w:id="4"/>
      <w:r w:rsidRPr="00FF2504">
        <w:fldChar w:fldCharType="begin"/>
      </w:r>
      <w:r w:rsidRPr="00FF2504">
        <w:instrText xml:space="preserve"> HYPERLINK "http://www.sciencedirect.com/science/article/pii/S0044848602006269" \l "!" </w:instrText>
      </w:r>
      <w:r w:rsidRPr="00FF2504">
        <w:fldChar w:fldCharType="separate"/>
      </w:r>
      <w:r w:rsidRPr="00FF2504">
        <w:rPr>
          <w:rStyle w:val="text"/>
        </w:rPr>
        <w:t xml:space="preserve"> ITO, F. </w:t>
      </w:r>
      <w:r w:rsidRPr="00FF2504">
        <w:fldChar w:fldCharType="end"/>
      </w:r>
      <w:bookmarkEnd w:id="5"/>
      <w:r w:rsidRPr="00FF2504">
        <w:rPr>
          <w:lang w:val="en-US"/>
        </w:rPr>
        <w:t>The influence of rearing density on stress response and disease susceptibility of ayu (</w:t>
      </w:r>
      <w:r w:rsidRPr="00FF2504">
        <w:rPr>
          <w:i/>
          <w:lang w:val="en-US"/>
        </w:rPr>
        <w:t>Plecoglossus altivelis</w:t>
      </w:r>
      <w:r w:rsidRPr="00FF2504">
        <w:rPr>
          <w:lang w:val="en-US"/>
        </w:rPr>
        <w:t xml:space="preserve">). </w:t>
      </w:r>
      <w:r w:rsidRPr="00FF2504">
        <w:rPr>
          <w:b/>
          <w:bCs/>
        </w:rPr>
        <w:t>Aquaculture</w:t>
      </w:r>
      <w:r w:rsidRPr="00FF2504">
        <w:t>, v.202, p.515-523, 2003.</w:t>
      </w:r>
    </w:p>
    <w:p w:rsidR="00DA68D9" w:rsidRPr="00FF2504" w:rsidRDefault="00DA68D9" w:rsidP="00FF2504">
      <w:pPr>
        <w:pStyle w:val="RefernciasBibliogrficas"/>
      </w:pPr>
      <w:r w:rsidRPr="00FF2504">
        <w:rPr>
          <w:lang w:val="en-US"/>
        </w:rPr>
        <w:t xml:space="preserve">JOBLING, M. </w:t>
      </w:r>
      <w:r w:rsidRPr="00FF2504">
        <w:rPr>
          <w:b/>
          <w:bCs/>
          <w:lang w:val="en-US"/>
        </w:rPr>
        <w:t>Fish bioenergetics</w:t>
      </w:r>
      <w:r w:rsidRPr="00FF2504">
        <w:rPr>
          <w:lang w:val="en-US"/>
        </w:rPr>
        <w:t xml:space="preserve">. London: Chapman &amp; Hall, 1994. </w:t>
      </w:r>
      <w:r w:rsidRPr="00FF2504">
        <w:t>294p.</w:t>
      </w:r>
    </w:p>
    <w:p w:rsidR="00DA68D9" w:rsidRPr="00FF2504" w:rsidRDefault="00DA68D9" w:rsidP="00A36148">
      <w:pPr>
        <w:pStyle w:val="RefernciasBibliogrficas"/>
        <w:rPr>
          <w:bCs/>
          <w:lang w:val="en-US"/>
        </w:rPr>
      </w:pPr>
      <w:r w:rsidRPr="00FF2504">
        <w:rPr>
          <w:bCs/>
        </w:rPr>
        <w:lastRenderedPageBreak/>
        <w:t>LUZ, R.K.; ZANIBONI-FILHO, E.</w:t>
      </w:r>
      <w:r w:rsidRPr="00FF2504">
        <w:rPr>
          <w:b/>
          <w:bCs/>
        </w:rPr>
        <w:t xml:space="preserve"> </w:t>
      </w:r>
      <w:r w:rsidRPr="00FF2504">
        <w:rPr>
          <w:bCs/>
        </w:rPr>
        <w:t xml:space="preserve">Larvicultura do mandi-amarelo </w:t>
      </w:r>
      <w:r w:rsidRPr="00FF2504">
        <w:rPr>
          <w:bCs/>
          <w:i/>
        </w:rPr>
        <w:t xml:space="preserve">Pimelodus maculatus </w:t>
      </w:r>
      <w:r w:rsidRPr="00FF2504">
        <w:rPr>
          <w:bCs/>
        </w:rPr>
        <w:t>Lacépède, 1803 (Siluriformes:Pimelodidae) em diferentes densidades de estocagem nos primeiros dias de vida.</w:t>
      </w:r>
      <w:r w:rsidRPr="00FF2504">
        <w:rPr>
          <w:b/>
          <w:bCs/>
        </w:rPr>
        <w:t xml:space="preserve"> </w:t>
      </w:r>
      <w:r w:rsidRPr="00FF2504">
        <w:rPr>
          <w:b/>
          <w:bCs/>
          <w:lang w:val="en-US"/>
        </w:rPr>
        <w:t xml:space="preserve">Revista Brasileira de Zootecnia, </w:t>
      </w:r>
      <w:r w:rsidRPr="00FF2504">
        <w:rPr>
          <w:bCs/>
          <w:lang w:val="en-US"/>
        </w:rPr>
        <w:t>v.31, n.2, p.560-565, 2002.</w:t>
      </w:r>
    </w:p>
    <w:p w:rsidR="00DA68D9" w:rsidRPr="00FF2504" w:rsidRDefault="00DA68D9" w:rsidP="00A36148">
      <w:pPr>
        <w:autoSpaceDE w:val="0"/>
        <w:autoSpaceDN w:val="0"/>
        <w:adjustRightInd w:val="0"/>
        <w:spacing w:after="0" w:line="240" w:lineRule="auto"/>
        <w:jc w:val="both"/>
        <w:rPr>
          <w:rFonts w:eastAsia="TimesNewRomanPSMT"/>
          <w:szCs w:val="24"/>
        </w:rPr>
      </w:pPr>
      <w:r w:rsidRPr="00FF2504">
        <w:rPr>
          <w:rFonts w:eastAsia="TimesNewRomanPSMT"/>
          <w:szCs w:val="24"/>
        </w:rPr>
        <w:t xml:space="preserve">MAEDA, H.; SILVA, P.C.; OLIVEIRA, R.P.C.; AGUIAR, M.S.; PÁDUA, D.M.C.; MACHADO, N.P.; RODRIGUES, V.; SILVA, R.H. Densidade de estocagem na alevinagem de tilápia-do-nilo em tanque-rede. </w:t>
      </w:r>
      <w:r w:rsidRPr="00FF2504">
        <w:rPr>
          <w:rFonts w:eastAsiaTheme="minorHAnsi"/>
          <w:b/>
          <w:bCs/>
          <w:szCs w:val="24"/>
        </w:rPr>
        <w:t>Ciência Animal Brasileira,</w:t>
      </w:r>
      <w:r w:rsidRPr="00FF2504">
        <w:rPr>
          <w:rFonts w:eastAsiaTheme="minorHAnsi"/>
          <w:bCs/>
          <w:szCs w:val="24"/>
        </w:rPr>
        <w:t xml:space="preserve"> v. 11, n. 3, p. 471-476, jul./set. 2010</w:t>
      </w:r>
    </w:p>
    <w:p w:rsidR="00DA68D9" w:rsidRPr="00FF2504" w:rsidRDefault="00DA68D9" w:rsidP="00A36148">
      <w:pPr>
        <w:autoSpaceDE w:val="0"/>
        <w:autoSpaceDN w:val="0"/>
        <w:adjustRightInd w:val="0"/>
        <w:spacing w:after="0" w:line="240" w:lineRule="auto"/>
        <w:jc w:val="both"/>
        <w:rPr>
          <w:szCs w:val="24"/>
        </w:rPr>
      </w:pPr>
      <w:r w:rsidRPr="00FF2504">
        <w:rPr>
          <w:szCs w:val="24"/>
        </w:rPr>
        <w:t xml:space="preserve">MARENGONI, N. G. Produção de tilápia do Nilo, Oreochromis niloticus (linhagem chitralada), cultivada em tanques-rede, sob diferentes densidades de estocagem. </w:t>
      </w:r>
      <w:r w:rsidRPr="00FF2504">
        <w:rPr>
          <w:b/>
          <w:szCs w:val="24"/>
        </w:rPr>
        <w:t>Archivos de Zootecnia</w:t>
      </w:r>
      <w:r w:rsidRPr="00FF2504">
        <w:rPr>
          <w:szCs w:val="24"/>
        </w:rPr>
        <w:t>, Córdoba, v. 55, n. 210, p. 127- 138, 2006.</w:t>
      </w:r>
    </w:p>
    <w:p w:rsidR="00DA68D9" w:rsidRPr="00FF2504" w:rsidRDefault="00DA68D9" w:rsidP="00A36148">
      <w:pPr>
        <w:autoSpaceDE w:val="0"/>
        <w:autoSpaceDN w:val="0"/>
        <w:adjustRightInd w:val="0"/>
        <w:spacing w:after="0" w:line="240" w:lineRule="auto"/>
        <w:jc w:val="both"/>
        <w:rPr>
          <w:rFonts w:eastAsiaTheme="minorHAnsi"/>
          <w:szCs w:val="24"/>
        </w:rPr>
      </w:pPr>
      <w:r w:rsidRPr="00FF2504">
        <w:rPr>
          <w:rFonts w:eastAsiaTheme="minorHAnsi"/>
          <w:bCs/>
          <w:szCs w:val="24"/>
        </w:rPr>
        <w:t>MARQUES, N.R.; HAYASHI, C.; FURUYA, W.M.; SOARES, C.M.</w:t>
      </w:r>
      <w:r w:rsidRPr="00FF2504">
        <w:rPr>
          <w:rFonts w:eastAsiaTheme="minorHAnsi"/>
          <w:b/>
          <w:bCs/>
          <w:szCs w:val="24"/>
        </w:rPr>
        <w:t xml:space="preserve"> </w:t>
      </w:r>
      <w:r w:rsidRPr="00FF2504">
        <w:rPr>
          <w:rFonts w:eastAsiaTheme="minorHAnsi"/>
          <w:szCs w:val="24"/>
        </w:rPr>
        <w:t xml:space="preserve">Influência da densidade de estocagem no cultivo de alevinos de matrinxã </w:t>
      </w:r>
      <w:r w:rsidRPr="00FF2504">
        <w:rPr>
          <w:rFonts w:eastAsiaTheme="minorHAnsi"/>
          <w:i/>
          <w:iCs/>
          <w:szCs w:val="24"/>
        </w:rPr>
        <w:t xml:space="preserve">Brycon cephalus </w:t>
      </w:r>
      <w:r w:rsidRPr="00FF2504">
        <w:rPr>
          <w:rFonts w:eastAsiaTheme="minorHAnsi"/>
          <w:szCs w:val="24"/>
        </w:rPr>
        <w:t xml:space="preserve">(Günther, 1869) em condições experimentais. </w:t>
      </w:r>
      <w:r w:rsidRPr="00FF2504">
        <w:rPr>
          <w:rFonts w:eastAsiaTheme="minorHAnsi"/>
          <w:b/>
          <w:szCs w:val="24"/>
        </w:rPr>
        <w:t>Acta Scientiarum. Biological Sciences</w:t>
      </w:r>
      <w:r w:rsidRPr="00FF2504">
        <w:rPr>
          <w:rFonts w:eastAsiaTheme="minorHAnsi"/>
          <w:szCs w:val="24"/>
        </w:rPr>
        <w:t xml:space="preserve"> Maringá, v. 26, no. 1, p. 55-59, 2004</w:t>
      </w:r>
    </w:p>
    <w:p w:rsidR="00DA68D9" w:rsidRPr="00FF2504" w:rsidRDefault="00DA68D9" w:rsidP="00A36148">
      <w:pPr>
        <w:autoSpaceDE w:val="0"/>
        <w:autoSpaceDN w:val="0"/>
        <w:adjustRightInd w:val="0"/>
        <w:spacing w:after="0" w:line="240" w:lineRule="auto"/>
        <w:jc w:val="both"/>
        <w:rPr>
          <w:rFonts w:eastAsia="TimesNewRomanPSMT"/>
          <w:szCs w:val="24"/>
        </w:rPr>
      </w:pPr>
      <w:r w:rsidRPr="00FF2504">
        <w:rPr>
          <w:rFonts w:eastAsiaTheme="minorHAnsi"/>
          <w:szCs w:val="24"/>
        </w:rPr>
        <w:t xml:space="preserve">MARTINELLI, S. G.; </w:t>
      </w:r>
      <w:r w:rsidR="00E26491" w:rsidRPr="00FF2504">
        <w:rPr>
          <w:bCs/>
          <w:szCs w:val="24"/>
          <w:shd w:val="clear" w:color="auto" w:fill="FFFFFF"/>
        </w:rPr>
        <w:t>NETO, J.R.; SILVA, L.P.; BERGAMIN, G.T.; MASCHIO, D.; FLORA, M.A.L.D.; NUNES, L.M.C.; POSSANI, G.</w:t>
      </w:r>
      <w:r w:rsidR="00E26491" w:rsidRPr="00FF2504">
        <w:rPr>
          <w:rFonts w:eastAsiaTheme="minorHAnsi"/>
          <w:szCs w:val="24"/>
        </w:rPr>
        <w:t xml:space="preserve"> </w:t>
      </w:r>
      <w:r w:rsidRPr="00FF2504">
        <w:rPr>
          <w:rFonts w:eastAsiaTheme="minorHAnsi"/>
          <w:bCs/>
          <w:szCs w:val="24"/>
        </w:rPr>
        <w:t>Densidade de estocagem e frequência alimentar no cultivo de jundiá em tanques</w:t>
      </w:r>
      <w:r w:rsidRPr="00FF2504">
        <w:rPr>
          <w:rFonts w:eastAsia="MS Gothic"/>
          <w:bCs/>
          <w:szCs w:val="24"/>
        </w:rPr>
        <w:t>‑</w:t>
      </w:r>
      <w:r w:rsidRPr="00FF2504">
        <w:rPr>
          <w:rFonts w:eastAsiaTheme="minorHAnsi"/>
          <w:bCs/>
          <w:szCs w:val="24"/>
        </w:rPr>
        <w:t xml:space="preserve">rede. </w:t>
      </w:r>
      <w:r w:rsidRPr="00FF2504">
        <w:rPr>
          <w:rFonts w:eastAsiaTheme="minorHAnsi"/>
          <w:b/>
          <w:szCs w:val="24"/>
        </w:rPr>
        <w:t xml:space="preserve">Pesquisa </w:t>
      </w:r>
      <w:r w:rsidR="001C5E32" w:rsidRPr="00FF2504">
        <w:rPr>
          <w:rFonts w:eastAsiaTheme="minorHAnsi"/>
          <w:b/>
          <w:szCs w:val="24"/>
        </w:rPr>
        <w:t>Agropecuária</w:t>
      </w:r>
      <w:r w:rsidRPr="00FF2504">
        <w:rPr>
          <w:rFonts w:eastAsiaTheme="minorHAnsi"/>
          <w:b/>
          <w:szCs w:val="24"/>
        </w:rPr>
        <w:t xml:space="preserve"> </w:t>
      </w:r>
      <w:r w:rsidR="001C5E32" w:rsidRPr="00FF2504">
        <w:rPr>
          <w:rFonts w:eastAsiaTheme="minorHAnsi"/>
          <w:b/>
          <w:szCs w:val="24"/>
        </w:rPr>
        <w:t>Brasileira</w:t>
      </w:r>
      <w:r w:rsidRPr="00FF2504">
        <w:rPr>
          <w:rFonts w:eastAsiaTheme="minorHAnsi"/>
          <w:b/>
          <w:szCs w:val="24"/>
        </w:rPr>
        <w:t>, Brasília</w:t>
      </w:r>
      <w:r w:rsidRPr="00FF2504">
        <w:rPr>
          <w:rFonts w:eastAsia="TimesNewRomanPSMT"/>
          <w:szCs w:val="24"/>
        </w:rPr>
        <w:t>, v.48, n.8, p.871-877, ago. 2013.</w:t>
      </w:r>
    </w:p>
    <w:p w:rsidR="00FF2504" w:rsidRPr="00FF2504" w:rsidRDefault="00E26491" w:rsidP="00FF2504">
      <w:pPr>
        <w:autoSpaceDE w:val="0"/>
        <w:autoSpaceDN w:val="0"/>
        <w:adjustRightInd w:val="0"/>
        <w:spacing w:after="0" w:line="240" w:lineRule="auto"/>
        <w:jc w:val="both"/>
        <w:rPr>
          <w:rFonts w:eastAsiaTheme="minorHAnsi"/>
          <w:szCs w:val="24"/>
        </w:rPr>
      </w:pPr>
      <w:r w:rsidRPr="00FF2504">
        <w:rPr>
          <w:rFonts w:eastAsiaTheme="minorHAnsi"/>
          <w:bCs/>
          <w:szCs w:val="24"/>
        </w:rPr>
        <w:t xml:space="preserve">PIAIA, R.  BALDISSEROTTO, B. </w:t>
      </w:r>
      <w:r w:rsidR="00DA68D9" w:rsidRPr="00FF2504">
        <w:rPr>
          <w:rFonts w:eastAsiaTheme="minorHAnsi"/>
          <w:bCs/>
          <w:szCs w:val="24"/>
        </w:rPr>
        <w:t xml:space="preserve">Densidade de estocagem e crescimento de alevinos de jundiá </w:t>
      </w:r>
      <w:r w:rsidR="00DA68D9" w:rsidRPr="00FF2504">
        <w:rPr>
          <w:rFonts w:eastAsiaTheme="minorHAnsi"/>
          <w:bCs/>
          <w:i/>
          <w:iCs/>
          <w:szCs w:val="24"/>
        </w:rPr>
        <w:t xml:space="preserve">Rhamdia quelen </w:t>
      </w:r>
      <w:r w:rsidR="00DA68D9" w:rsidRPr="00FF2504">
        <w:rPr>
          <w:rFonts w:eastAsiaTheme="minorHAnsi"/>
          <w:bCs/>
          <w:szCs w:val="24"/>
        </w:rPr>
        <w:t>(QUOY &amp; GAIMARD, 1824)</w:t>
      </w:r>
      <w:r w:rsidR="00DA68D9" w:rsidRPr="00FF2504">
        <w:rPr>
          <w:szCs w:val="24"/>
        </w:rPr>
        <w:t xml:space="preserve">. </w:t>
      </w:r>
      <w:r w:rsidR="00DA68D9" w:rsidRPr="00FF2504">
        <w:rPr>
          <w:rFonts w:eastAsiaTheme="minorHAnsi"/>
          <w:b/>
          <w:szCs w:val="24"/>
        </w:rPr>
        <w:t>Ciência Rural, Santa Maria</w:t>
      </w:r>
      <w:r w:rsidR="00DA68D9" w:rsidRPr="00FF2504">
        <w:rPr>
          <w:rFonts w:eastAsiaTheme="minorHAnsi"/>
          <w:szCs w:val="24"/>
        </w:rPr>
        <w:t xml:space="preserve">, v. 30, n. 3, p. 509-513, 2000. </w:t>
      </w:r>
    </w:p>
    <w:p w:rsidR="00DA68D9" w:rsidRPr="00FF2504" w:rsidRDefault="00FF2504" w:rsidP="00FF2504">
      <w:pPr>
        <w:autoSpaceDE w:val="0"/>
        <w:autoSpaceDN w:val="0"/>
        <w:adjustRightInd w:val="0"/>
        <w:spacing w:after="0" w:line="240" w:lineRule="auto"/>
        <w:jc w:val="both"/>
        <w:rPr>
          <w:szCs w:val="24"/>
        </w:rPr>
      </w:pPr>
      <w:r w:rsidRPr="00FF2504">
        <w:rPr>
          <w:szCs w:val="24"/>
          <w:lang w:val="en-US"/>
        </w:rPr>
        <w:t xml:space="preserve">PIAIA, R.; </w:t>
      </w:r>
      <w:r w:rsidRPr="00FF2504">
        <w:rPr>
          <w:rFonts w:eastAsia="Times New Roman"/>
          <w:szCs w:val="21"/>
          <w:lang w:eastAsia="pt-BR"/>
        </w:rPr>
        <w:t>TOWNSEND, C.R.; BALDISSEROTTO, B.</w:t>
      </w:r>
      <w:r w:rsidRPr="00FF2504">
        <w:rPr>
          <w:rFonts w:ascii="Source Sans Pro" w:eastAsia="Times New Roman" w:hAnsi="Source Sans Pro"/>
          <w:szCs w:val="21"/>
          <w:lang w:eastAsia="pt-BR"/>
        </w:rPr>
        <w:t xml:space="preserve"> </w:t>
      </w:r>
      <w:r w:rsidR="00DA68D9" w:rsidRPr="00FF2504">
        <w:rPr>
          <w:szCs w:val="24"/>
          <w:lang w:val="en-US"/>
        </w:rPr>
        <w:t xml:space="preserve">Growth and survival os fingerlings of </w:t>
      </w:r>
      <w:r w:rsidR="00DA68D9" w:rsidRPr="00FF2504">
        <w:rPr>
          <w:i/>
          <w:iCs/>
          <w:szCs w:val="24"/>
          <w:lang w:val="en-US"/>
        </w:rPr>
        <w:t>Rhamdia quelen</w:t>
      </w:r>
      <w:r w:rsidR="00DA68D9" w:rsidRPr="00FF2504">
        <w:rPr>
          <w:szCs w:val="24"/>
          <w:lang w:val="en-US"/>
        </w:rPr>
        <w:t xml:space="preserve"> exposed to different lights regimes. </w:t>
      </w:r>
      <w:r w:rsidR="00DA68D9" w:rsidRPr="00FF2504">
        <w:rPr>
          <w:b/>
          <w:bCs/>
          <w:szCs w:val="24"/>
        </w:rPr>
        <w:t xml:space="preserve">Aquaculture, </w:t>
      </w:r>
      <w:r w:rsidR="00DA68D9" w:rsidRPr="00FF2504">
        <w:rPr>
          <w:bCs/>
          <w:szCs w:val="24"/>
        </w:rPr>
        <w:t>v. 7, p. 201-205,</w:t>
      </w:r>
      <w:r w:rsidR="00DA68D9" w:rsidRPr="00FF2504">
        <w:rPr>
          <w:szCs w:val="24"/>
        </w:rPr>
        <w:t xml:space="preserve"> 1999. </w:t>
      </w:r>
    </w:p>
    <w:p w:rsidR="00DA68D9" w:rsidRPr="00FF2504" w:rsidRDefault="00FF2504" w:rsidP="00A36148">
      <w:pPr>
        <w:spacing w:after="0" w:line="240" w:lineRule="auto"/>
        <w:jc w:val="both"/>
        <w:rPr>
          <w:szCs w:val="24"/>
        </w:rPr>
      </w:pPr>
      <w:r w:rsidRPr="00FF2504">
        <w:rPr>
          <w:szCs w:val="24"/>
        </w:rPr>
        <w:t xml:space="preserve">PIEDRAS, S.R.N.; </w:t>
      </w:r>
      <w:r w:rsidRPr="00FF2504">
        <w:t xml:space="preserve">MORAES, P.R.R.; POUEY, J.L.O.F. </w:t>
      </w:r>
      <w:r w:rsidR="00DA68D9" w:rsidRPr="00FF2504">
        <w:rPr>
          <w:szCs w:val="24"/>
        </w:rPr>
        <w:t xml:space="preserve">Crescimento de juvenis de jundiá (Rhamdia quelen), de acordo com a temperatura da água. </w:t>
      </w:r>
      <w:r w:rsidR="00DA68D9" w:rsidRPr="00FF2504">
        <w:rPr>
          <w:b/>
          <w:szCs w:val="24"/>
        </w:rPr>
        <w:t>Boletim do Instituto de Pesca</w:t>
      </w:r>
      <w:r w:rsidR="00DA68D9" w:rsidRPr="00FF2504">
        <w:rPr>
          <w:szCs w:val="24"/>
        </w:rPr>
        <w:t>, São Paulo, n.30, v.2, p.177-182, 2004.</w:t>
      </w:r>
    </w:p>
    <w:p w:rsidR="00DA68D9" w:rsidRPr="00FF2504" w:rsidRDefault="00DA68D9" w:rsidP="00A36148">
      <w:pPr>
        <w:widowControl w:val="0"/>
        <w:autoSpaceDE w:val="0"/>
        <w:autoSpaceDN w:val="0"/>
        <w:adjustRightInd w:val="0"/>
        <w:spacing w:after="0" w:line="240" w:lineRule="auto"/>
        <w:jc w:val="both"/>
        <w:rPr>
          <w:rFonts w:eastAsiaTheme="minorHAnsi"/>
          <w:bCs/>
          <w:iCs/>
          <w:szCs w:val="24"/>
        </w:rPr>
      </w:pPr>
      <w:r w:rsidRPr="00FF2504">
        <w:rPr>
          <w:rFonts w:eastAsiaTheme="minorHAnsi"/>
          <w:szCs w:val="24"/>
        </w:rPr>
        <w:t xml:space="preserve">PINTO, R.D. </w:t>
      </w:r>
      <w:r w:rsidRPr="00FF2504">
        <w:rPr>
          <w:rFonts w:eastAsiaTheme="minorHAnsi"/>
          <w:b/>
          <w:szCs w:val="24"/>
        </w:rPr>
        <w:t>E</w:t>
      </w:r>
      <w:r w:rsidRPr="00FF2504">
        <w:rPr>
          <w:rFonts w:eastAsiaTheme="minorHAnsi"/>
          <w:b/>
          <w:bCs/>
          <w:szCs w:val="24"/>
        </w:rPr>
        <w:t>feito da densidade de estocagem no crescimento do jundiá (</w:t>
      </w:r>
      <w:r w:rsidRPr="00FF2504">
        <w:rPr>
          <w:rFonts w:eastAsiaTheme="minorHAnsi"/>
          <w:b/>
          <w:bCs/>
          <w:i/>
          <w:iCs/>
          <w:szCs w:val="24"/>
        </w:rPr>
        <w:t>Rhamdia quelen)</w:t>
      </w:r>
      <w:r w:rsidRPr="00FF2504">
        <w:rPr>
          <w:rFonts w:eastAsiaTheme="minorHAnsi"/>
          <w:bCs/>
          <w:i/>
          <w:iCs/>
          <w:szCs w:val="24"/>
        </w:rPr>
        <w:t xml:space="preserve">. </w:t>
      </w:r>
      <w:r w:rsidRPr="00FF2504">
        <w:rPr>
          <w:rFonts w:eastAsiaTheme="minorHAnsi"/>
          <w:bCs/>
          <w:iCs/>
          <w:szCs w:val="24"/>
        </w:rPr>
        <w:t>Dissertação apresentada na Universidade Federal do Paraná, para obtenção do título de tecnólogo em Aquicultura, 2011, 51p.</w:t>
      </w:r>
    </w:p>
    <w:p w:rsidR="00DA68D9" w:rsidRPr="00FF2504" w:rsidRDefault="000C71CA" w:rsidP="00A36148">
      <w:pPr>
        <w:spacing w:after="0" w:line="240" w:lineRule="auto"/>
        <w:jc w:val="both"/>
        <w:rPr>
          <w:szCs w:val="24"/>
        </w:rPr>
      </w:pPr>
      <w:r w:rsidRPr="00FF2504">
        <w:rPr>
          <w:rFonts w:eastAsia="TimesNewRomanPSMT"/>
          <w:szCs w:val="24"/>
        </w:rPr>
        <w:t xml:space="preserve">SALARO, A.L.; LUZ, R.K.; SAKABE, R.; </w:t>
      </w:r>
      <w:r w:rsidRPr="00FF2504">
        <w:rPr>
          <w:bCs/>
          <w:szCs w:val="24"/>
        </w:rPr>
        <w:t>KASAI, R.Y.D.; LAMBERTUCCI, D.M</w:t>
      </w:r>
      <w:r w:rsidR="00DA68D9" w:rsidRPr="00FF2504">
        <w:rPr>
          <w:szCs w:val="24"/>
        </w:rPr>
        <w:t>. Níveis de arraçoamento para juvenis de trairão (</w:t>
      </w:r>
      <w:r w:rsidR="00DA68D9" w:rsidRPr="00FF2504">
        <w:rPr>
          <w:i/>
          <w:iCs/>
          <w:szCs w:val="24"/>
        </w:rPr>
        <w:t>Hoplias lacerdae</w:t>
      </w:r>
      <w:r w:rsidR="00DA68D9" w:rsidRPr="00FF2504">
        <w:rPr>
          <w:szCs w:val="24"/>
        </w:rPr>
        <w:t xml:space="preserve">). </w:t>
      </w:r>
      <w:r w:rsidR="00DA68D9" w:rsidRPr="00FF2504">
        <w:rPr>
          <w:b/>
          <w:bCs/>
          <w:szCs w:val="24"/>
        </w:rPr>
        <w:t>Revista Brasileira de Zootecnia</w:t>
      </w:r>
      <w:r w:rsidR="00DA68D9" w:rsidRPr="00FF2504">
        <w:rPr>
          <w:szCs w:val="24"/>
        </w:rPr>
        <w:t>, v.37, n.6, p.967-970, 2008.</w:t>
      </w:r>
    </w:p>
    <w:p w:rsidR="00DA68D9" w:rsidRPr="00FF2504" w:rsidRDefault="00DA68D9" w:rsidP="00A36148">
      <w:pPr>
        <w:autoSpaceDE w:val="0"/>
        <w:autoSpaceDN w:val="0"/>
        <w:adjustRightInd w:val="0"/>
        <w:spacing w:after="0" w:line="240" w:lineRule="auto"/>
        <w:jc w:val="both"/>
        <w:rPr>
          <w:rFonts w:eastAsiaTheme="minorHAnsi"/>
          <w:bCs/>
          <w:iCs/>
          <w:szCs w:val="24"/>
        </w:rPr>
      </w:pPr>
      <w:r w:rsidRPr="00FF2504">
        <w:rPr>
          <w:rFonts w:eastAsiaTheme="minorHAnsi"/>
          <w:bCs/>
          <w:szCs w:val="24"/>
        </w:rPr>
        <w:t xml:space="preserve">SALARO, A.L.; LUZ, R.K.; NOGUEIRA, G.C.C.B.; REIS, A.; SAKABE, R.; LAMBERTUCCI, D.M. Diferentes Densidades de Estocagem na Produção de Alevinos de Trairão </w:t>
      </w:r>
      <w:r w:rsidRPr="00FF2504">
        <w:rPr>
          <w:rFonts w:eastAsiaTheme="minorHAnsi"/>
          <w:bCs/>
          <w:i/>
          <w:iCs/>
          <w:szCs w:val="24"/>
        </w:rPr>
        <w:t xml:space="preserve">(Hoplias </w:t>
      </w:r>
      <w:r w:rsidRPr="00FF2504">
        <w:rPr>
          <w:rFonts w:eastAsiaTheme="minorHAnsi"/>
          <w:bCs/>
          <w:szCs w:val="24"/>
        </w:rPr>
        <w:t>cf.</w:t>
      </w:r>
      <w:r w:rsidRPr="00FF2504">
        <w:rPr>
          <w:rFonts w:eastAsiaTheme="minorHAnsi"/>
          <w:bCs/>
          <w:i/>
          <w:iCs/>
          <w:szCs w:val="24"/>
        </w:rPr>
        <w:t xml:space="preserve"> lacerdae). </w:t>
      </w:r>
      <w:r w:rsidRPr="00FF2504">
        <w:rPr>
          <w:rFonts w:eastAsiaTheme="minorHAnsi"/>
          <w:b/>
          <w:bCs/>
          <w:szCs w:val="24"/>
        </w:rPr>
        <w:t xml:space="preserve">Revista Brasileira de Zootecnia, </w:t>
      </w:r>
      <w:r w:rsidRPr="00FF2504">
        <w:rPr>
          <w:rFonts w:eastAsiaTheme="minorHAnsi"/>
          <w:bCs/>
          <w:szCs w:val="24"/>
        </w:rPr>
        <w:t>v.32, n.5, p.1033-1036, 2003.</w:t>
      </w:r>
    </w:p>
    <w:p w:rsidR="00DA68D9" w:rsidRPr="00FF2504" w:rsidRDefault="00DA68D9" w:rsidP="00A36148">
      <w:pPr>
        <w:widowControl w:val="0"/>
        <w:autoSpaceDE w:val="0"/>
        <w:autoSpaceDN w:val="0"/>
        <w:adjustRightInd w:val="0"/>
        <w:spacing w:after="0" w:line="240" w:lineRule="auto"/>
        <w:jc w:val="both"/>
        <w:rPr>
          <w:szCs w:val="24"/>
          <w:lang w:val="en-US"/>
        </w:rPr>
      </w:pPr>
      <w:r w:rsidRPr="00FF2504">
        <w:rPr>
          <w:szCs w:val="24"/>
          <w:lang w:val="en-US"/>
        </w:rPr>
        <w:t xml:space="preserve">SILFVERGRIP,  A.M.C.  </w:t>
      </w:r>
      <w:r w:rsidRPr="00FF2504">
        <w:rPr>
          <w:b/>
          <w:bCs/>
          <w:szCs w:val="24"/>
          <w:lang w:val="en-US"/>
        </w:rPr>
        <w:t xml:space="preserve">A  systematic  revision  of  the  neotropical  catfih  genus </w:t>
      </w:r>
      <w:r w:rsidRPr="00FF2504">
        <w:rPr>
          <w:b/>
          <w:bCs/>
          <w:i/>
          <w:iCs/>
          <w:szCs w:val="24"/>
          <w:lang w:val="en-US"/>
        </w:rPr>
        <w:t xml:space="preserve">Rhamdia </w:t>
      </w:r>
      <w:r w:rsidRPr="00FF2504">
        <w:rPr>
          <w:b/>
          <w:bCs/>
          <w:szCs w:val="24"/>
          <w:lang w:val="en-US"/>
        </w:rPr>
        <w:t>(Teleostei, Pimelodidae).</w:t>
      </w:r>
      <w:r w:rsidRPr="00FF2504">
        <w:rPr>
          <w:b/>
          <w:bCs/>
          <w:i/>
          <w:iCs/>
          <w:szCs w:val="24"/>
          <w:lang w:val="en-US"/>
        </w:rPr>
        <w:t xml:space="preserve"> </w:t>
      </w:r>
      <w:r w:rsidRPr="00FF2504">
        <w:rPr>
          <w:szCs w:val="24"/>
          <w:lang w:val="en-US"/>
        </w:rPr>
        <w:t>Tese de Doutorado, Department of Vertebrate</w:t>
      </w:r>
      <w:r w:rsidRPr="00FF2504">
        <w:rPr>
          <w:b/>
          <w:bCs/>
          <w:i/>
          <w:iCs/>
          <w:szCs w:val="24"/>
          <w:lang w:val="en-US"/>
        </w:rPr>
        <w:t xml:space="preserve"> </w:t>
      </w:r>
      <w:r w:rsidRPr="00FF2504">
        <w:rPr>
          <w:szCs w:val="24"/>
          <w:lang w:val="en-US"/>
        </w:rPr>
        <w:t>Zoology, Swedish Museum Natural History, Stockholm, Sweden, 156 p, 1996.</w:t>
      </w:r>
    </w:p>
    <w:p w:rsidR="00376441" w:rsidRPr="008F3774" w:rsidRDefault="00376441" w:rsidP="00DA68D9">
      <w:pPr>
        <w:spacing w:after="240" w:line="240" w:lineRule="auto"/>
        <w:jc w:val="center"/>
        <w:rPr>
          <w:b/>
          <w:szCs w:val="24"/>
          <w:lang w:eastAsia="pt-BR"/>
        </w:rPr>
      </w:pPr>
    </w:p>
    <w:sectPr w:rsidR="00376441" w:rsidRPr="008F3774" w:rsidSect="0084602C">
      <w:headerReference w:type="default" r:id="rId15"/>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76F" w:rsidRDefault="00AE476F" w:rsidP="00880ABD">
      <w:pPr>
        <w:spacing w:after="0" w:line="240" w:lineRule="auto"/>
      </w:pPr>
      <w:r>
        <w:separator/>
      </w:r>
    </w:p>
  </w:endnote>
  <w:endnote w:type="continuationSeparator" w:id="0">
    <w:p w:rsidR="00AE476F" w:rsidRDefault="00AE476F"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w:panose1 w:val="00000000000000000000"/>
    <w:charset w:val="80"/>
    <w:family w:val="auto"/>
    <w:notTrueType/>
    <w:pitch w:val="default"/>
    <w:sig w:usb0="00000083" w:usb1="08070000" w:usb2="00000010" w:usb3="00000000" w:csb0="00020009"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76F" w:rsidRDefault="00AE476F" w:rsidP="00880ABD">
      <w:pPr>
        <w:spacing w:after="0" w:line="240" w:lineRule="auto"/>
      </w:pPr>
      <w:r>
        <w:separator/>
      </w:r>
    </w:p>
  </w:footnote>
  <w:footnote w:type="continuationSeparator" w:id="0">
    <w:p w:rsidR="00AE476F" w:rsidRDefault="00AE476F"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ABD" w:rsidRDefault="00D86DFD" w:rsidP="0084602C">
    <w:pPr>
      <w:pStyle w:val="Cabealho"/>
      <w:jc w:val="right"/>
    </w:pPr>
    <w:r>
      <w:rPr>
        <w:noProof/>
      </w:rPr>
      <w:drawing>
        <wp:anchor distT="0" distB="0" distL="114300" distR="114300" simplePos="0" relativeHeight="251657728" behindDoc="0" locked="0" layoutInCell="1" allowOverlap="1">
          <wp:simplePos x="0" y="0"/>
          <wp:positionH relativeFrom="margin">
            <wp:posOffset>334645</wp:posOffset>
          </wp:positionH>
          <wp:positionV relativeFrom="margin">
            <wp:posOffset>-815340</wp:posOffset>
          </wp:positionV>
          <wp:extent cx="4819015" cy="77787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0C3D28">
      <w:rPr>
        <w:noProof/>
        <w:sz w:val="20"/>
        <w:szCs w:val="20"/>
      </w:rPr>
      <w:t>1</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C726FF2"/>
    <w:multiLevelType w:val="multilevel"/>
    <w:tmpl w:val="B2B8A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C3875B3"/>
    <w:multiLevelType w:val="multilevel"/>
    <w:tmpl w:val="4B00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B1F53"/>
    <w:rsid w:val="000C3D28"/>
    <w:rsid w:val="000C71CA"/>
    <w:rsid w:val="000F2732"/>
    <w:rsid w:val="001C5E32"/>
    <w:rsid w:val="001F2267"/>
    <w:rsid w:val="00271200"/>
    <w:rsid w:val="002812AA"/>
    <w:rsid w:val="002E188F"/>
    <w:rsid w:val="002F5A77"/>
    <w:rsid w:val="003270C9"/>
    <w:rsid w:val="00353954"/>
    <w:rsid w:val="00354010"/>
    <w:rsid w:val="00376441"/>
    <w:rsid w:val="003C7F86"/>
    <w:rsid w:val="004146C9"/>
    <w:rsid w:val="00437053"/>
    <w:rsid w:val="00455756"/>
    <w:rsid w:val="004D17CC"/>
    <w:rsid w:val="005E7BB3"/>
    <w:rsid w:val="005F0065"/>
    <w:rsid w:val="005F1B78"/>
    <w:rsid w:val="00600A4F"/>
    <w:rsid w:val="00624FD0"/>
    <w:rsid w:val="00680B68"/>
    <w:rsid w:val="006D7C8B"/>
    <w:rsid w:val="00706E0D"/>
    <w:rsid w:val="007101DA"/>
    <w:rsid w:val="007269F2"/>
    <w:rsid w:val="007B7288"/>
    <w:rsid w:val="008012D4"/>
    <w:rsid w:val="00815198"/>
    <w:rsid w:val="00815365"/>
    <w:rsid w:val="0081639F"/>
    <w:rsid w:val="00826FAA"/>
    <w:rsid w:val="008332CB"/>
    <w:rsid w:val="0084602C"/>
    <w:rsid w:val="00880ABD"/>
    <w:rsid w:val="008B385C"/>
    <w:rsid w:val="008F3774"/>
    <w:rsid w:val="00912EDA"/>
    <w:rsid w:val="00950475"/>
    <w:rsid w:val="00964D0B"/>
    <w:rsid w:val="009734FE"/>
    <w:rsid w:val="00986650"/>
    <w:rsid w:val="009B0E3A"/>
    <w:rsid w:val="009B527D"/>
    <w:rsid w:val="009C1047"/>
    <w:rsid w:val="009E7188"/>
    <w:rsid w:val="00A069E2"/>
    <w:rsid w:val="00A36148"/>
    <w:rsid w:val="00A60E79"/>
    <w:rsid w:val="00A968FE"/>
    <w:rsid w:val="00AA3AD6"/>
    <w:rsid w:val="00AE476F"/>
    <w:rsid w:val="00AF5B6E"/>
    <w:rsid w:val="00B27C5A"/>
    <w:rsid w:val="00B51ED4"/>
    <w:rsid w:val="00B86724"/>
    <w:rsid w:val="00C16E8D"/>
    <w:rsid w:val="00C428DA"/>
    <w:rsid w:val="00C86FAA"/>
    <w:rsid w:val="00C978E1"/>
    <w:rsid w:val="00CC7791"/>
    <w:rsid w:val="00D66241"/>
    <w:rsid w:val="00D73C82"/>
    <w:rsid w:val="00D86DFD"/>
    <w:rsid w:val="00DA68D9"/>
    <w:rsid w:val="00DB1E78"/>
    <w:rsid w:val="00DD1D86"/>
    <w:rsid w:val="00DF07DA"/>
    <w:rsid w:val="00E26491"/>
    <w:rsid w:val="00E51E5B"/>
    <w:rsid w:val="00E86C3C"/>
    <w:rsid w:val="00EC0FEF"/>
    <w:rsid w:val="00EC4BB0"/>
    <w:rsid w:val="00EE35E2"/>
    <w:rsid w:val="00EE3E2B"/>
    <w:rsid w:val="00EF6BA8"/>
    <w:rsid w:val="00F2360A"/>
    <w:rsid w:val="00F66549"/>
    <w:rsid w:val="00F92E7B"/>
    <w:rsid w:val="00FE5F0E"/>
    <w:rsid w:val="00FF2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8679C"/>
  <w15:docId w15:val="{9B6223EB-A025-4E08-9ACC-7A049403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unhideWhenUsed/>
    <w:qFormat/>
    <w:rsid w:val="008012D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customStyle="1" w:styleId="Pargrafopadro">
    <w:name w:val="Parágrafo padrão"/>
    <w:basedOn w:val="Normal"/>
    <w:autoRedefine/>
    <w:rsid w:val="00DA68D9"/>
    <w:pPr>
      <w:spacing w:after="0" w:line="360" w:lineRule="auto"/>
      <w:ind w:firstLine="737"/>
      <w:jc w:val="both"/>
    </w:pPr>
    <w:rPr>
      <w:rFonts w:eastAsia="Times New Roman"/>
      <w:iCs/>
      <w:szCs w:val="20"/>
      <w:lang w:eastAsia="pt-BR"/>
    </w:rPr>
  </w:style>
  <w:style w:type="table" w:styleId="Tabelacomgrade">
    <w:name w:val="Table Grid"/>
    <w:basedOn w:val="Tabelanormal"/>
    <w:uiPriority w:val="39"/>
    <w:rsid w:val="00DA68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A68D9"/>
  </w:style>
  <w:style w:type="paragraph" w:customStyle="1" w:styleId="RefernciasBibliogrficas">
    <w:name w:val="Referências Bibliográficas"/>
    <w:basedOn w:val="Normal"/>
    <w:rsid w:val="00DA68D9"/>
    <w:pPr>
      <w:spacing w:after="0" w:line="240" w:lineRule="auto"/>
      <w:jc w:val="both"/>
    </w:pPr>
    <w:rPr>
      <w:rFonts w:eastAsia="Times New Roman"/>
      <w:iCs/>
      <w:szCs w:val="24"/>
      <w:lang w:eastAsia="pt-BR"/>
    </w:rPr>
  </w:style>
  <w:style w:type="paragraph" w:styleId="Pr-formataoHTML">
    <w:name w:val="HTML Preformatted"/>
    <w:basedOn w:val="Normal"/>
    <w:link w:val="Pr-formataoHTMLChar"/>
    <w:uiPriority w:val="99"/>
    <w:semiHidden/>
    <w:unhideWhenUsed/>
    <w:rsid w:val="008F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F3774"/>
    <w:rPr>
      <w:rFonts w:ascii="Courier New" w:eastAsia="Times New Roman" w:hAnsi="Courier New" w:cs="Courier New"/>
    </w:rPr>
  </w:style>
  <w:style w:type="paragraph" w:styleId="NormalWeb">
    <w:name w:val="Normal (Web)"/>
    <w:basedOn w:val="Normal"/>
    <w:uiPriority w:val="99"/>
    <w:semiHidden/>
    <w:unhideWhenUsed/>
    <w:rsid w:val="008F3774"/>
    <w:pPr>
      <w:spacing w:before="100" w:beforeAutospacing="1" w:after="100" w:afterAutospacing="1" w:line="240" w:lineRule="auto"/>
    </w:pPr>
    <w:rPr>
      <w:rFonts w:eastAsia="Times New Roman"/>
      <w:szCs w:val="24"/>
      <w:lang w:eastAsia="pt-BR"/>
    </w:rPr>
  </w:style>
  <w:style w:type="character" w:customStyle="1" w:styleId="Ttulo3Char">
    <w:name w:val="Título 3 Char"/>
    <w:basedOn w:val="Fontepargpadro"/>
    <w:link w:val="Ttulo3"/>
    <w:uiPriority w:val="9"/>
    <w:rsid w:val="008012D4"/>
    <w:rPr>
      <w:rFonts w:asciiTheme="majorHAnsi" w:eastAsiaTheme="majorEastAsia" w:hAnsiTheme="majorHAnsi" w:cstheme="majorBidi"/>
      <w:color w:val="243F60" w:themeColor="accent1" w:themeShade="7F"/>
      <w:sz w:val="24"/>
      <w:szCs w:val="24"/>
      <w:lang w:eastAsia="en-US"/>
    </w:rPr>
  </w:style>
  <w:style w:type="character" w:customStyle="1" w:styleId="text">
    <w:name w:val="text"/>
    <w:basedOn w:val="Fontepargpadro"/>
    <w:rsid w:val="00FF2504"/>
  </w:style>
  <w:style w:type="character" w:customStyle="1" w:styleId="authorsname">
    <w:name w:val="authors__name"/>
    <w:basedOn w:val="Fontepargpadro"/>
    <w:rsid w:val="00FF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4590">
      <w:bodyDiv w:val="1"/>
      <w:marLeft w:val="0"/>
      <w:marRight w:val="0"/>
      <w:marTop w:val="0"/>
      <w:marBottom w:val="0"/>
      <w:divBdr>
        <w:top w:val="none" w:sz="0" w:space="0" w:color="auto"/>
        <w:left w:val="none" w:sz="0" w:space="0" w:color="auto"/>
        <w:bottom w:val="none" w:sz="0" w:space="0" w:color="auto"/>
        <w:right w:val="none" w:sz="0" w:space="0" w:color="auto"/>
      </w:divBdr>
      <w:divsChild>
        <w:div w:id="536354302">
          <w:marLeft w:val="0"/>
          <w:marRight w:val="0"/>
          <w:marTop w:val="0"/>
          <w:marBottom w:val="0"/>
          <w:divBdr>
            <w:top w:val="single" w:sz="6" w:space="16" w:color="414141"/>
            <w:left w:val="single" w:sz="6" w:space="18" w:color="414141"/>
            <w:bottom w:val="single" w:sz="6" w:space="0" w:color="414141"/>
            <w:right w:val="single" w:sz="6" w:space="31" w:color="414141"/>
          </w:divBdr>
        </w:div>
        <w:div w:id="941297705">
          <w:marLeft w:val="0"/>
          <w:marRight w:val="0"/>
          <w:marTop w:val="0"/>
          <w:marBottom w:val="0"/>
          <w:divBdr>
            <w:top w:val="single" w:sz="6" w:space="16" w:color="414141"/>
            <w:left w:val="single" w:sz="6" w:space="18" w:color="414141"/>
            <w:bottom w:val="single" w:sz="6" w:space="0" w:color="414141"/>
            <w:right w:val="single" w:sz="6" w:space="31" w:color="414141"/>
          </w:divBdr>
        </w:div>
        <w:div w:id="1897550644">
          <w:marLeft w:val="0"/>
          <w:marRight w:val="0"/>
          <w:marTop w:val="0"/>
          <w:marBottom w:val="0"/>
          <w:divBdr>
            <w:top w:val="single" w:sz="6" w:space="16" w:color="414141"/>
            <w:left w:val="single" w:sz="6" w:space="18" w:color="414141"/>
            <w:bottom w:val="single" w:sz="6" w:space="0" w:color="414141"/>
            <w:right w:val="single" w:sz="6" w:space="31" w:color="414141"/>
          </w:divBdr>
        </w:div>
      </w:divsChild>
    </w:div>
    <w:div w:id="895776782">
      <w:bodyDiv w:val="1"/>
      <w:marLeft w:val="0"/>
      <w:marRight w:val="0"/>
      <w:marTop w:val="0"/>
      <w:marBottom w:val="0"/>
      <w:divBdr>
        <w:top w:val="none" w:sz="0" w:space="0" w:color="auto"/>
        <w:left w:val="none" w:sz="0" w:space="0" w:color="auto"/>
        <w:bottom w:val="none" w:sz="0" w:space="0" w:color="auto"/>
        <w:right w:val="none" w:sz="0" w:space="0" w:color="auto"/>
      </w:divBdr>
    </w:div>
    <w:div w:id="1211041510">
      <w:bodyDiv w:val="1"/>
      <w:marLeft w:val="0"/>
      <w:marRight w:val="0"/>
      <w:marTop w:val="0"/>
      <w:marBottom w:val="0"/>
      <w:divBdr>
        <w:top w:val="none" w:sz="0" w:space="0" w:color="auto"/>
        <w:left w:val="none" w:sz="0" w:space="0" w:color="auto"/>
        <w:bottom w:val="none" w:sz="0" w:space="0" w:color="auto"/>
        <w:right w:val="none" w:sz="0" w:space="0" w:color="auto"/>
      </w:divBdr>
    </w:div>
    <w:div w:id="1822499011">
      <w:bodyDiv w:val="1"/>
      <w:marLeft w:val="0"/>
      <w:marRight w:val="0"/>
      <w:marTop w:val="0"/>
      <w:marBottom w:val="0"/>
      <w:divBdr>
        <w:top w:val="none" w:sz="0" w:space="0" w:color="auto"/>
        <w:left w:val="none" w:sz="0" w:space="0" w:color="auto"/>
        <w:bottom w:val="none" w:sz="0" w:space="0" w:color="auto"/>
        <w:right w:val="none" w:sz="0" w:space="0" w:color="auto"/>
      </w:divBdr>
    </w:div>
    <w:div w:id="212816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soc@itaipu.gov.br"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hellenferreira63@gmail.com" TargetMode="External"/><Relationship Id="rId12" Type="http://schemas.openxmlformats.org/officeDocument/2006/relationships/hyperlink" Target="mailto:arcangelo.signor@ifpr.edu.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avia-potrich@hot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islon.reidel@ifpr.edu.br" TargetMode="External"/><Relationship Id="rId4" Type="http://schemas.openxmlformats.org/officeDocument/2006/relationships/webSettings" Target="webSettings.xml"/><Relationship Id="rId9" Type="http://schemas.openxmlformats.org/officeDocument/2006/relationships/hyperlink" Target="mailto:andrelw@itaipu.gov.br"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cangelo%20Signor\Desktop\Artigos%20para%20escrever\Jundia%20Densidade%20-%20CNPq\gra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rcangelo%20Signor\Desktop\Artigos%20para%20escrever\Jundia%20Densidade%20-%20CNPq\grafico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3937007874017"/>
          <c:y val="5.0925925925925923E-2"/>
          <c:w val="0.81940507436570431"/>
          <c:h val="0.77591061533974914"/>
        </c:manualLayout>
      </c:layout>
      <c:scatterChart>
        <c:scatterStyle val="lineMarker"/>
        <c:varyColors val="0"/>
        <c:ser>
          <c:idx val="0"/>
          <c:order val="0"/>
          <c:spPr>
            <a:ln w="25400" cap="rnd">
              <a:noFill/>
              <a:round/>
            </a:ln>
            <a:effectLst/>
          </c:spPr>
          <c:marker>
            <c:symbol val="diamond"/>
            <c:size val="5"/>
            <c:spPr>
              <a:solidFill>
                <a:schemeClr val="tx1"/>
              </a:solidFill>
              <a:ln w="9525">
                <a:solidFill>
                  <a:schemeClr val="tx1"/>
                </a:solidFill>
              </a:ln>
              <a:effectLst/>
            </c:spPr>
          </c:marker>
          <c:trendline>
            <c:spPr>
              <a:ln w="19050" cap="rnd">
                <a:solidFill>
                  <a:schemeClr val="tx1"/>
                </a:solidFill>
                <a:prstDash val="sysDot"/>
              </a:ln>
              <a:effectLst/>
            </c:spPr>
            <c:trendlineType val="linear"/>
            <c:dispRSqr val="1"/>
            <c:dispEq val="1"/>
            <c:trendlineLbl>
              <c:layout>
                <c:manualLayout>
                  <c:x val="-0.56894552115411801"/>
                  <c:y val="2.5185460308027534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trendlineLbl>
          </c:trendline>
          <c:xVal>
            <c:numRef>
              <c:f>Planilha1!$E$1:$I$1</c:f>
              <c:numCache>
                <c:formatCode>General</c:formatCode>
                <c:ptCount val="5"/>
                <c:pt idx="0">
                  <c:v>100</c:v>
                </c:pt>
                <c:pt idx="1">
                  <c:v>200</c:v>
                </c:pt>
                <c:pt idx="2">
                  <c:v>300</c:v>
                </c:pt>
                <c:pt idx="3">
                  <c:v>400</c:v>
                </c:pt>
                <c:pt idx="4">
                  <c:v>500</c:v>
                </c:pt>
              </c:numCache>
            </c:numRef>
          </c:xVal>
          <c:yVal>
            <c:numRef>
              <c:f>Planilha1!$E$2:$I$2</c:f>
              <c:numCache>
                <c:formatCode>General</c:formatCode>
                <c:ptCount val="5"/>
                <c:pt idx="0">
                  <c:v>3.15</c:v>
                </c:pt>
                <c:pt idx="1">
                  <c:v>2.09</c:v>
                </c:pt>
                <c:pt idx="2">
                  <c:v>1.06</c:v>
                </c:pt>
                <c:pt idx="3">
                  <c:v>1.27</c:v>
                </c:pt>
                <c:pt idx="4">
                  <c:v>0.9</c:v>
                </c:pt>
              </c:numCache>
            </c:numRef>
          </c:yVal>
          <c:smooth val="0"/>
          <c:extLst>
            <c:ext xmlns:c16="http://schemas.microsoft.com/office/drawing/2014/chart" uri="{C3380CC4-5D6E-409C-BE32-E72D297353CC}">
              <c16:uniqueId val="{00000001-197B-4FB8-8A8D-B8E179F8E74E}"/>
            </c:ext>
          </c:extLst>
        </c:ser>
        <c:dLbls>
          <c:showLegendKey val="0"/>
          <c:showVal val="0"/>
          <c:showCatName val="0"/>
          <c:showSerName val="0"/>
          <c:showPercent val="0"/>
          <c:showBubbleSize val="0"/>
        </c:dLbls>
        <c:axId val="400138096"/>
        <c:axId val="400136128"/>
      </c:scatterChart>
      <c:valAx>
        <c:axId val="400138096"/>
        <c:scaling>
          <c:orientation val="minMax"/>
          <c:max val="500"/>
          <c:min val="10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Densidade de estocagem (peixes/m³)</a:t>
                </a:r>
              </a:p>
            </c:rich>
          </c:tx>
          <c:layout>
            <c:manualLayout>
              <c:xMode val="edge"/>
              <c:yMode val="edge"/>
              <c:x val="0.30037379702537181"/>
              <c:y val="0.8925692621755614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400136128"/>
        <c:crosses val="autoZero"/>
        <c:crossBetween val="midCat"/>
        <c:majorUnit val="100"/>
      </c:valAx>
      <c:valAx>
        <c:axId val="40013612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Conversão alimentar aparente</a:t>
                </a:r>
              </a:p>
            </c:rich>
          </c:tx>
          <c:layout>
            <c:manualLayout>
              <c:xMode val="edge"/>
              <c:yMode val="edge"/>
              <c:x val="1.9444444444444445E-2"/>
              <c:y val="0.1520406824146981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40013809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03937007874016"/>
          <c:y val="5.0925925925925923E-2"/>
          <c:w val="0.84440507436570433"/>
          <c:h val="0.77591061533974914"/>
        </c:manualLayout>
      </c:layout>
      <c:scatterChart>
        <c:scatterStyle val="lineMarker"/>
        <c:varyColors val="0"/>
        <c:ser>
          <c:idx val="0"/>
          <c:order val="0"/>
          <c:spPr>
            <a:ln w="19050" cap="rnd">
              <a:noFill/>
              <a:round/>
            </a:ln>
            <a:effectLst/>
          </c:spPr>
          <c:marker>
            <c:symbol val="diamond"/>
            <c:size val="5"/>
            <c:spPr>
              <a:solidFill>
                <a:schemeClr val="tx1"/>
              </a:solidFill>
              <a:ln w="9525">
                <a:solidFill>
                  <a:schemeClr val="tx1"/>
                </a:solidFill>
              </a:ln>
              <a:effectLst/>
            </c:spPr>
          </c:marker>
          <c:trendline>
            <c:spPr>
              <a:ln w="19050" cap="rnd">
                <a:solidFill>
                  <a:schemeClr val="tx1"/>
                </a:solidFill>
                <a:prstDash val="sysDot"/>
              </a:ln>
              <a:effectLst/>
            </c:spPr>
            <c:trendlineType val="linear"/>
            <c:dispRSqr val="1"/>
            <c:dispEq val="1"/>
            <c:trendlineLbl>
              <c:layout>
                <c:manualLayout>
                  <c:x val="6.7917760279965003E-3"/>
                  <c:y val="0.49173957421988918"/>
                </c:manualLayout>
              </c:layout>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aseline="0">
                        <a:solidFill>
                          <a:sysClr val="windowText" lastClr="000000"/>
                        </a:solidFill>
                        <a:latin typeface="Times New Roman" panose="02020603050405020304" pitchFamily="18" charset="0"/>
                        <a:cs typeface="Times New Roman" panose="02020603050405020304" pitchFamily="18" charset="0"/>
                      </a:rPr>
                      <a:t>y = 0,0477x + 0,122</a:t>
                    </a:r>
                    <a:br>
                      <a:rPr lang="en-US" baseline="0">
                        <a:solidFill>
                          <a:sysClr val="windowText" lastClr="000000"/>
                        </a:solidFill>
                        <a:latin typeface="Times New Roman" panose="02020603050405020304" pitchFamily="18" charset="0"/>
                        <a:cs typeface="Times New Roman" panose="02020603050405020304" pitchFamily="18" charset="0"/>
                      </a:rPr>
                    </a:br>
                    <a:r>
                      <a:rPr lang="en-US" baseline="0">
                        <a:solidFill>
                          <a:sysClr val="windowText" lastClr="000000"/>
                        </a:solidFill>
                        <a:latin typeface="Times New Roman" panose="02020603050405020304" pitchFamily="18" charset="0"/>
                        <a:cs typeface="Times New Roman" panose="02020603050405020304" pitchFamily="18" charset="0"/>
                      </a:rPr>
                      <a:t>R² = 0,99</a:t>
                    </a:r>
                    <a:endParaRPr lang="en-US">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rendlineLbl>
          </c:trendline>
          <c:xVal>
            <c:numRef>
              <c:f>Planilha1!$E$1:$I$1</c:f>
              <c:numCache>
                <c:formatCode>General</c:formatCode>
                <c:ptCount val="5"/>
                <c:pt idx="0">
                  <c:v>100</c:v>
                </c:pt>
                <c:pt idx="1">
                  <c:v>200</c:v>
                </c:pt>
                <c:pt idx="2">
                  <c:v>300</c:v>
                </c:pt>
                <c:pt idx="3">
                  <c:v>400</c:v>
                </c:pt>
                <c:pt idx="4">
                  <c:v>500</c:v>
                </c:pt>
              </c:numCache>
            </c:numRef>
          </c:xVal>
          <c:yVal>
            <c:numRef>
              <c:f>Planilha1!$E$3:$I$3</c:f>
              <c:numCache>
                <c:formatCode>General</c:formatCode>
                <c:ptCount val="5"/>
                <c:pt idx="0">
                  <c:v>4.7300000000000004</c:v>
                </c:pt>
                <c:pt idx="1">
                  <c:v>9.02</c:v>
                </c:pt>
                <c:pt idx="2">
                  <c:v>15.65</c:v>
                </c:pt>
                <c:pt idx="3">
                  <c:v>19.34</c:v>
                </c:pt>
                <c:pt idx="4">
                  <c:v>23.42</c:v>
                </c:pt>
              </c:numCache>
            </c:numRef>
          </c:yVal>
          <c:smooth val="0"/>
          <c:extLst>
            <c:ext xmlns:c16="http://schemas.microsoft.com/office/drawing/2014/chart" uri="{C3380CC4-5D6E-409C-BE32-E72D297353CC}">
              <c16:uniqueId val="{00000001-4075-4290-BC65-4D45CB7EEB1F}"/>
            </c:ext>
          </c:extLst>
        </c:ser>
        <c:dLbls>
          <c:showLegendKey val="0"/>
          <c:showVal val="0"/>
          <c:showCatName val="0"/>
          <c:showSerName val="0"/>
          <c:showPercent val="0"/>
          <c:showBubbleSize val="0"/>
        </c:dLbls>
        <c:axId val="400138096"/>
        <c:axId val="400136128"/>
      </c:scatterChart>
      <c:valAx>
        <c:axId val="400138096"/>
        <c:scaling>
          <c:orientation val="minMax"/>
          <c:max val="500"/>
          <c:min val="10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Densidade de estocagem (peixes/m³)</a:t>
                </a:r>
              </a:p>
            </c:rich>
          </c:tx>
          <c:layout>
            <c:manualLayout>
              <c:xMode val="edge"/>
              <c:yMode val="edge"/>
              <c:x val="0.30037379702537181"/>
              <c:y val="0.8925692621755614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00136128"/>
        <c:crosses val="autoZero"/>
        <c:crossBetween val="midCat"/>
        <c:majorUnit val="100"/>
      </c:valAx>
      <c:valAx>
        <c:axId val="40013612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Biomassa final (kg)</a:t>
                </a:r>
              </a:p>
            </c:rich>
          </c:tx>
          <c:layout>
            <c:manualLayout>
              <c:xMode val="edge"/>
              <c:yMode val="edge"/>
              <c:x val="1.1111111111111112E-2"/>
              <c:y val="0.249262904636920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0013809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3472</Words>
  <Characters>18753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22181</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Professor</cp:lastModifiedBy>
  <cp:revision>2</cp:revision>
  <cp:lastPrinted>2017-08-04T18:35:00Z</cp:lastPrinted>
  <dcterms:created xsi:type="dcterms:W3CDTF">2017-08-08T17:56:00Z</dcterms:created>
  <dcterms:modified xsi:type="dcterms:W3CDTF">2017-08-08T17:56:00Z</dcterms:modified>
</cp:coreProperties>
</file>