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FC4D6B" w:rsidP="00824730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>Análise hermenêutica da função da perícia criminal oficial face à legislação processual penal vigente</w:t>
      </w:r>
    </w:p>
    <w:bookmarkEnd w:id="0"/>
    <w:p w:rsidR="00595933" w:rsidRPr="00813F18" w:rsidRDefault="00595933" w:rsidP="00824730">
      <w:pPr>
        <w:spacing w:line="240" w:lineRule="auto"/>
        <w:jc w:val="left"/>
      </w:pPr>
    </w:p>
    <w:p w:rsidR="006B0CC4" w:rsidRPr="00FC71F5" w:rsidRDefault="006B0CC4" w:rsidP="00824730">
      <w:pPr>
        <w:spacing w:line="240" w:lineRule="auto"/>
        <w:jc w:val="center"/>
      </w:pPr>
    </w:p>
    <w:p w:rsidR="00477EB8" w:rsidRDefault="002D02FF" w:rsidP="00477EB8">
      <w:pPr>
        <w:widowControl w:val="0"/>
        <w:spacing w:line="240" w:lineRule="auto"/>
        <w:ind w:firstLine="851"/>
        <w:rPr>
          <w:sz w:val="22"/>
        </w:rPr>
      </w:pPr>
      <w:r w:rsidRPr="002D02FF">
        <w:rPr>
          <w:sz w:val="22"/>
        </w:rPr>
        <w:t xml:space="preserve">Os órgãos oficiais de Perícia Criminal passam por um processo de reflexão da sua função na persecução penal. A evolução da ciência contrasta com a ausência de atualização das normas processuais penais vigentes, que possuem quase oito décadas de existência, levando a um </w:t>
      </w:r>
      <w:r w:rsidR="000C08CC">
        <w:rPr>
          <w:sz w:val="22"/>
        </w:rPr>
        <w:t>aumento</w:t>
      </w:r>
      <w:r w:rsidRPr="002D02FF">
        <w:rPr>
          <w:sz w:val="22"/>
        </w:rPr>
        <w:t xml:space="preserve"> das situações em que a Criminalística pode ser </w:t>
      </w:r>
      <w:r w:rsidR="000C08CC">
        <w:rPr>
          <w:sz w:val="22"/>
        </w:rPr>
        <w:t>empregada</w:t>
      </w:r>
      <w:r w:rsidRPr="002D02FF">
        <w:rPr>
          <w:sz w:val="22"/>
        </w:rPr>
        <w:t>.</w:t>
      </w:r>
      <w:r w:rsidR="00477EB8">
        <w:rPr>
          <w:sz w:val="22"/>
        </w:rPr>
        <w:t xml:space="preserve"> </w:t>
      </w:r>
      <w:r w:rsidR="00477EB8" w:rsidRPr="006848C7">
        <w:rPr>
          <w:sz w:val="22"/>
        </w:rPr>
        <w:t>Como a legislação processual penal não acompanha a evolução da ciência</w:t>
      </w:r>
      <w:r w:rsidR="00616975">
        <w:rPr>
          <w:sz w:val="22"/>
        </w:rPr>
        <w:t>, ela</w:t>
      </w:r>
      <w:r w:rsidR="00477EB8" w:rsidRPr="006848C7">
        <w:rPr>
          <w:sz w:val="22"/>
        </w:rPr>
        <w:t xml:space="preserve"> </w:t>
      </w:r>
      <w:r w:rsidR="008B7F04">
        <w:rPr>
          <w:sz w:val="22"/>
        </w:rPr>
        <w:t>possibilita</w:t>
      </w:r>
      <w:r w:rsidR="00477EB8" w:rsidRPr="006848C7">
        <w:rPr>
          <w:sz w:val="22"/>
        </w:rPr>
        <w:t xml:space="preserve"> a interpretação extensiva das normas de forma equivocada</w:t>
      </w:r>
      <w:r w:rsidR="00477EB8">
        <w:rPr>
          <w:sz w:val="22"/>
        </w:rPr>
        <w:t xml:space="preserve">, </w:t>
      </w:r>
      <w:r w:rsidR="00616975">
        <w:rPr>
          <w:sz w:val="22"/>
        </w:rPr>
        <w:t>que se soma</w:t>
      </w:r>
      <w:r w:rsidR="00477EB8">
        <w:rPr>
          <w:sz w:val="22"/>
        </w:rPr>
        <w:t xml:space="preserve"> </w:t>
      </w:r>
      <w:r w:rsidR="00616975">
        <w:rPr>
          <w:sz w:val="22"/>
        </w:rPr>
        <w:t>a</w:t>
      </w:r>
      <w:r w:rsidR="00477EB8">
        <w:rPr>
          <w:sz w:val="22"/>
        </w:rPr>
        <w:t xml:space="preserve">o natural aumento das situações que exigem a intervenção dos órgãos oficiais de Perícia Criminal. </w:t>
      </w:r>
    </w:p>
    <w:p w:rsidR="00477EB8" w:rsidRDefault="00E1727F" w:rsidP="00E1727F">
      <w:pPr>
        <w:widowControl w:val="0"/>
        <w:spacing w:line="240" w:lineRule="auto"/>
        <w:ind w:firstLine="851"/>
        <w:rPr>
          <w:sz w:val="22"/>
        </w:rPr>
      </w:pPr>
      <w:r w:rsidRPr="00E1727F">
        <w:rPr>
          <w:sz w:val="22"/>
        </w:rPr>
        <w:t xml:space="preserve">Segundo Velho, Costa e Damasceno (2013 p.5), </w:t>
      </w:r>
      <w:r w:rsidR="00616975">
        <w:rPr>
          <w:sz w:val="22"/>
        </w:rPr>
        <w:t>houve um aumento de 259% no número de homicídios no Brasil entre 1980 e 2010</w:t>
      </w:r>
      <w:r w:rsidRPr="00E1727F">
        <w:rPr>
          <w:sz w:val="22"/>
        </w:rPr>
        <w:t xml:space="preserve">, </w:t>
      </w:r>
      <w:r w:rsidR="00616975">
        <w:rPr>
          <w:sz w:val="22"/>
        </w:rPr>
        <w:t xml:space="preserve">passando </w:t>
      </w:r>
      <w:r w:rsidRPr="00E1727F">
        <w:rPr>
          <w:sz w:val="22"/>
        </w:rPr>
        <w:t xml:space="preserve">de 13.910 para 49.932. </w:t>
      </w:r>
      <w:r w:rsidR="00616975">
        <w:rPr>
          <w:sz w:val="22"/>
        </w:rPr>
        <w:t>O</w:t>
      </w:r>
      <w:r w:rsidRPr="00E1727F">
        <w:rPr>
          <w:sz w:val="22"/>
        </w:rPr>
        <w:t xml:space="preserve"> Ministério da Justiça (2012, p.101), constatou</w:t>
      </w:r>
      <w:r w:rsidR="00616975">
        <w:rPr>
          <w:sz w:val="22"/>
        </w:rPr>
        <w:t xml:space="preserve"> em 2012</w:t>
      </w:r>
      <w:r w:rsidRPr="00E1727F">
        <w:rPr>
          <w:sz w:val="22"/>
        </w:rPr>
        <w:t xml:space="preserve"> mais de 22 mil laudos periciais de locais de </w:t>
      </w:r>
      <w:r w:rsidR="009D33AC">
        <w:rPr>
          <w:sz w:val="22"/>
        </w:rPr>
        <w:t>homicídio</w:t>
      </w:r>
      <w:r w:rsidRPr="00E1727F">
        <w:rPr>
          <w:sz w:val="22"/>
        </w:rPr>
        <w:t xml:space="preserve"> e outros 30 mil laudos de necropsia</w:t>
      </w:r>
      <w:r w:rsidR="00616975">
        <w:rPr>
          <w:sz w:val="22"/>
        </w:rPr>
        <w:t xml:space="preserve"> </w:t>
      </w:r>
      <w:r w:rsidR="00616975" w:rsidRPr="00E1727F">
        <w:rPr>
          <w:sz w:val="22"/>
        </w:rPr>
        <w:t>pendentes de confecção (passivo)</w:t>
      </w:r>
      <w:r w:rsidRPr="00E1727F">
        <w:rPr>
          <w:sz w:val="22"/>
        </w:rPr>
        <w:t xml:space="preserve">. </w:t>
      </w:r>
    </w:p>
    <w:p w:rsidR="00E1727F" w:rsidRDefault="000C08CC" w:rsidP="00E1727F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Por sua vez, a</w:t>
      </w:r>
      <w:r w:rsidR="00E1727F" w:rsidRPr="00E1727F">
        <w:rPr>
          <w:sz w:val="22"/>
        </w:rPr>
        <w:t>s “Estatísticas Criminais” divulgadas SINESP</w:t>
      </w:r>
      <w:r w:rsidR="00616975">
        <w:rPr>
          <w:sz w:val="22"/>
        </w:rPr>
        <w:t xml:space="preserve"> (</w:t>
      </w:r>
      <w:r w:rsidR="00E1727F" w:rsidRPr="00E1727F">
        <w:rPr>
          <w:sz w:val="22"/>
        </w:rPr>
        <w:t>2016), referentes aos anos de 2011 e 2014, registra</w:t>
      </w:r>
      <w:r>
        <w:rPr>
          <w:sz w:val="22"/>
        </w:rPr>
        <w:t>ram</w:t>
      </w:r>
      <w:r w:rsidR="00E1727F" w:rsidRPr="00E1727F">
        <w:rPr>
          <w:sz w:val="22"/>
        </w:rPr>
        <w:t xml:space="preserve"> um aumento no número de homicídios</w:t>
      </w:r>
      <w:r>
        <w:rPr>
          <w:sz w:val="22"/>
        </w:rPr>
        <w:t xml:space="preserve"> dolosos de 40.564 para 50.692 (</w:t>
      </w:r>
      <w:r w:rsidR="00E1727F" w:rsidRPr="00E1727F">
        <w:rPr>
          <w:sz w:val="22"/>
        </w:rPr>
        <w:t>24,9</w:t>
      </w:r>
      <w:r>
        <w:rPr>
          <w:sz w:val="22"/>
        </w:rPr>
        <w:t>7%).</w:t>
      </w:r>
      <w:r w:rsidR="00E1727F" w:rsidRPr="00E1727F">
        <w:rPr>
          <w:sz w:val="22"/>
        </w:rPr>
        <w:t xml:space="preserve"> </w:t>
      </w:r>
      <w:r>
        <w:rPr>
          <w:sz w:val="22"/>
        </w:rPr>
        <w:t>O</w:t>
      </w:r>
      <w:r w:rsidR="00E1727F" w:rsidRPr="00E1727F">
        <w:rPr>
          <w:sz w:val="22"/>
        </w:rPr>
        <w:t xml:space="preserve">s Estados com maior </w:t>
      </w:r>
      <w:r>
        <w:rPr>
          <w:sz w:val="22"/>
        </w:rPr>
        <w:t xml:space="preserve">taxa de </w:t>
      </w:r>
      <w:r w:rsidR="00E1727F" w:rsidRPr="00E1727F">
        <w:rPr>
          <w:sz w:val="22"/>
        </w:rPr>
        <w:t xml:space="preserve">aumento </w:t>
      </w:r>
      <w:r>
        <w:rPr>
          <w:sz w:val="22"/>
        </w:rPr>
        <w:t>foram</w:t>
      </w:r>
      <w:r w:rsidR="00E1727F" w:rsidRPr="00E1727F">
        <w:rPr>
          <w:sz w:val="22"/>
        </w:rPr>
        <w:t xml:space="preserve"> Pará (187,98%), Goiás (158,02%)</w:t>
      </w:r>
      <w:r>
        <w:rPr>
          <w:sz w:val="22"/>
        </w:rPr>
        <w:t xml:space="preserve"> e</w:t>
      </w:r>
      <w:r w:rsidR="00E1727F" w:rsidRPr="00E1727F">
        <w:rPr>
          <w:sz w:val="22"/>
        </w:rPr>
        <w:t xml:space="preserve"> Santa Catarina (114,08%).</w:t>
      </w:r>
    </w:p>
    <w:p w:rsidR="000C08CC" w:rsidRDefault="00477EB8" w:rsidP="000C08CC">
      <w:pPr>
        <w:widowControl w:val="0"/>
        <w:spacing w:line="240" w:lineRule="auto"/>
        <w:ind w:firstLine="851"/>
        <w:rPr>
          <w:sz w:val="22"/>
        </w:rPr>
      </w:pPr>
      <w:r w:rsidRPr="002D02FF">
        <w:rPr>
          <w:sz w:val="22"/>
        </w:rPr>
        <w:t>Esse aumento irracional da demanda leva ao engessamento dos órgãos oficiais de Perícia Criminal de todo o Brasil.</w:t>
      </w:r>
      <w:r>
        <w:rPr>
          <w:sz w:val="22"/>
        </w:rPr>
        <w:t xml:space="preserve"> </w:t>
      </w:r>
      <w:r w:rsidR="000C08CC">
        <w:rPr>
          <w:sz w:val="22"/>
        </w:rPr>
        <w:t>Como o efetivo dos órgãos oficiais de Perícia Criminal não acompanha esse crescimento</w:t>
      </w:r>
      <w:r w:rsidR="000C08CC" w:rsidRPr="00E1727F">
        <w:rPr>
          <w:sz w:val="22"/>
        </w:rPr>
        <w:t>, em muitos casos a persecução penal “[...] está sendo realizada sem que haja informações consistentes sobre o local dos fatos e</w:t>
      </w:r>
      <w:r w:rsidR="007F3C01">
        <w:rPr>
          <w:sz w:val="22"/>
        </w:rPr>
        <w:t xml:space="preserve"> [...]</w:t>
      </w:r>
      <w:r w:rsidR="000C08CC">
        <w:rPr>
          <w:sz w:val="22"/>
        </w:rPr>
        <w:t xml:space="preserve"> a dinâmica dos acontecimentos” </w:t>
      </w:r>
      <w:r w:rsidR="00AB33C7">
        <w:rPr>
          <w:sz w:val="22"/>
        </w:rPr>
        <w:t>(</w:t>
      </w:r>
      <w:r w:rsidR="00AB33C7" w:rsidRPr="00E1727F">
        <w:rPr>
          <w:sz w:val="22"/>
        </w:rPr>
        <w:t>MINISTÉRIO DA JUSTIÇA</w:t>
      </w:r>
      <w:r w:rsidR="00AB33C7">
        <w:rPr>
          <w:sz w:val="22"/>
        </w:rPr>
        <w:t>,</w:t>
      </w:r>
      <w:r w:rsidR="00AB33C7" w:rsidRPr="00E1727F">
        <w:rPr>
          <w:sz w:val="22"/>
        </w:rPr>
        <w:t xml:space="preserve"> 2012, p.101)</w:t>
      </w:r>
      <w:r w:rsidR="000C08CC">
        <w:rPr>
          <w:sz w:val="22"/>
        </w:rPr>
        <w:t xml:space="preserve">. </w:t>
      </w:r>
    </w:p>
    <w:p w:rsidR="001A645D" w:rsidRPr="001A645D" w:rsidRDefault="001A645D" w:rsidP="001A645D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 xml:space="preserve">Em uma tentativa de resolver essa deficiência entre as </w:t>
      </w:r>
      <w:r w:rsidR="00AD452A">
        <w:rPr>
          <w:sz w:val="22"/>
        </w:rPr>
        <w:t>requisições</w:t>
      </w:r>
      <w:r>
        <w:rPr>
          <w:sz w:val="22"/>
        </w:rPr>
        <w:t xml:space="preserve"> e o atendimento, o legislador </w:t>
      </w:r>
      <w:r w:rsidR="00AD452A">
        <w:rPr>
          <w:sz w:val="22"/>
        </w:rPr>
        <w:t>procurou</w:t>
      </w:r>
      <w:r w:rsidR="00426E0E">
        <w:rPr>
          <w:sz w:val="22"/>
        </w:rPr>
        <w:t xml:space="preserve"> aumentar o prazo de confecção do laudo pericial</w:t>
      </w:r>
      <w:r w:rsidR="00AD452A">
        <w:rPr>
          <w:sz w:val="22"/>
        </w:rPr>
        <w:t xml:space="preserve"> ao longo dos anos</w:t>
      </w:r>
      <w:r w:rsidR="00426E0E">
        <w:rPr>
          <w:sz w:val="22"/>
        </w:rPr>
        <w:t xml:space="preserve">. Originalmente o prazo era de 05 (cinco) dias, passando para 10 (dez) dias com o advento da </w:t>
      </w:r>
      <w:r w:rsidR="00426E0E" w:rsidRPr="001A645D">
        <w:rPr>
          <w:sz w:val="22"/>
        </w:rPr>
        <w:t>Lei n. 8.862/94</w:t>
      </w:r>
      <w:r w:rsidR="00426E0E">
        <w:rPr>
          <w:sz w:val="22"/>
        </w:rPr>
        <w:t xml:space="preserve">. Atualmente o </w:t>
      </w:r>
      <w:r w:rsidR="00426E0E" w:rsidRPr="001A645D">
        <w:rPr>
          <w:sz w:val="22"/>
        </w:rPr>
        <w:t>Projeto de Lei n. 8.045/2010</w:t>
      </w:r>
      <w:r w:rsidR="00426E0E">
        <w:rPr>
          <w:sz w:val="22"/>
        </w:rPr>
        <w:t xml:space="preserve"> pretende </w:t>
      </w:r>
      <w:r w:rsidR="00426E0E" w:rsidRPr="001A645D">
        <w:rPr>
          <w:sz w:val="22"/>
        </w:rPr>
        <w:t>amplia</w:t>
      </w:r>
      <w:r w:rsidR="00426E0E">
        <w:rPr>
          <w:sz w:val="22"/>
        </w:rPr>
        <w:t>r</w:t>
      </w:r>
      <w:r w:rsidR="00426E0E" w:rsidRPr="001A645D">
        <w:rPr>
          <w:sz w:val="22"/>
        </w:rPr>
        <w:t xml:space="preserve"> </w:t>
      </w:r>
      <w:r w:rsidR="00426E0E">
        <w:rPr>
          <w:sz w:val="22"/>
        </w:rPr>
        <w:t xml:space="preserve">o prazo </w:t>
      </w:r>
      <w:r w:rsidR="00426E0E" w:rsidRPr="001A645D">
        <w:rPr>
          <w:sz w:val="22"/>
        </w:rPr>
        <w:t>para 15 (quinze) dias</w:t>
      </w:r>
      <w:r w:rsidR="00426E0E">
        <w:rPr>
          <w:sz w:val="22"/>
        </w:rPr>
        <w:t xml:space="preserve">. Porém, como os números comprovam, tal estratégia </w:t>
      </w:r>
      <w:r w:rsidRPr="001A645D">
        <w:rPr>
          <w:sz w:val="22"/>
        </w:rPr>
        <w:t>mostrou ser ineficaz para solução do problema se aplicada de forma isolada.</w:t>
      </w:r>
    </w:p>
    <w:p w:rsidR="00E90F80" w:rsidRDefault="00133168" w:rsidP="00E1727F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Por sua vez, o</w:t>
      </w:r>
      <w:r w:rsidR="00E90F80">
        <w:rPr>
          <w:sz w:val="22"/>
        </w:rPr>
        <w:t xml:space="preserve"> emprego da</w:t>
      </w:r>
      <w:r w:rsidR="00E1727F" w:rsidRPr="002D02FF">
        <w:rPr>
          <w:sz w:val="22"/>
        </w:rPr>
        <w:t xml:space="preserve"> hermenêutica jurídica e seus principais sistemas e espécies </w:t>
      </w:r>
      <w:r>
        <w:rPr>
          <w:sz w:val="22"/>
        </w:rPr>
        <w:t>interpretativas</w:t>
      </w:r>
      <w:r w:rsidR="00E90F80">
        <w:rPr>
          <w:sz w:val="22"/>
        </w:rPr>
        <w:t xml:space="preserve"> </w:t>
      </w:r>
      <w:r w:rsidR="00477EB8">
        <w:rPr>
          <w:sz w:val="22"/>
        </w:rPr>
        <w:t>permite</w:t>
      </w:r>
      <w:r w:rsidR="00E90F80" w:rsidRPr="002D02FF">
        <w:rPr>
          <w:sz w:val="22"/>
        </w:rPr>
        <w:t xml:space="preserve"> </w:t>
      </w:r>
      <w:r>
        <w:rPr>
          <w:sz w:val="22"/>
        </w:rPr>
        <w:t>ana</w:t>
      </w:r>
      <w:r w:rsidR="00E90F80" w:rsidRPr="002D02FF">
        <w:rPr>
          <w:sz w:val="22"/>
        </w:rPr>
        <w:t>lis</w:t>
      </w:r>
      <w:r>
        <w:rPr>
          <w:sz w:val="22"/>
        </w:rPr>
        <w:t>ar</w:t>
      </w:r>
      <w:r w:rsidR="00E90F80" w:rsidRPr="002D02FF">
        <w:rPr>
          <w:sz w:val="22"/>
        </w:rPr>
        <w:t xml:space="preserve"> pormenorizada</w:t>
      </w:r>
      <w:r>
        <w:rPr>
          <w:sz w:val="22"/>
        </w:rPr>
        <w:t>mente</w:t>
      </w:r>
      <w:r w:rsidR="00E90F80" w:rsidRPr="002D02FF">
        <w:rPr>
          <w:sz w:val="22"/>
        </w:rPr>
        <w:t xml:space="preserve"> algumas situações </w:t>
      </w:r>
      <w:r w:rsidR="008B686C">
        <w:rPr>
          <w:sz w:val="22"/>
        </w:rPr>
        <w:t>para identificar possíveis</w:t>
      </w:r>
      <w:r w:rsidR="00E90F80" w:rsidRPr="002D02FF">
        <w:rPr>
          <w:sz w:val="22"/>
        </w:rPr>
        <w:t xml:space="preserve"> </w:t>
      </w:r>
      <w:r w:rsidR="008B686C">
        <w:rPr>
          <w:sz w:val="22"/>
        </w:rPr>
        <w:t>equí</w:t>
      </w:r>
      <w:r w:rsidR="00E90F80">
        <w:rPr>
          <w:sz w:val="22"/>
        </w:rPr>
        <w:t>voc</w:t>
      </w:r>
      <w:r w:rsidR="008B686C">
        <w:rPr>
          <w:sz w:val="22"/>
        </w:rPr>
        <w:t>os</w:t>
      </w:r>
      <w:r w:rsidR="00E90F80">
        <w:rPr>
          <w:sz w:val="22"/>
        </w:rPr>
        <w:t xml:space="preserve"> </w:t>
      </w:r>
      <w:r w:rsidR="008B686C">
        <w:rPr>
          <w:sz w:val="22"/>
        </w:rPr>
        <w:t xml:space="preserve">nas </w:t>
      </w:r>
      <w:r w:rsidR="00E90F80" w:rsidRPr="002D02FF">
        <w:rPr>
          <w:sz w:val="22"/>
        </w:rPr>
        <w:t xml:space="preserve">requisições de exames periciais, que somente contribuem para o aumento </w:t>
      </w:r>
      <w:r w:rsidR="00EA50B6">
        <w:rPr>
          <w:sz w:val="22"/>
        </w:rPr>
        <w:t>do passivo de laudos</w:t>
      </w:r>
      <w:r w:rsidR="00E90F80">
        <w:rPr>
          <w:sz w:val="22"/>
        </w:rPr>
        <w:t>.</w:t>
      </w:r>
      <w:r w:rsidR="00477EB8">
        <w:rPr>
          <w:sz w:val="22"/>
        </w:rPr>
        <w:t xml:space="preserve"> </w:t>
      </w:r>
    </w:p>
    <w:p w:rsidR="00BF7314" w:rsidRDefault="00133168" w:rsidP="0036033C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  <w:szCs w:val="22"/>
        </w:rPr>
        <w:t>N</w:t>
      </w:r>
      <w:r w:rsidR="006848C7" w:rsidRPr="006848C7">
        <w:rPr>
          <w:sz w:val="22"/>
          <w:szCs w:val="22"/>
        </w:rPr>
        <w:t xml:space="preserve">o presente trabalho, </w:t>
      </w:r>
      <w:r w:rsidR="00081465">
        <w:rPr>
          <w:sz w:val="22"/>
          <w:szCs w:val="22"/>
        </w:rPr>
        <w:t xml:space="preserve">foram adotadas </w:t>
      </w:r>
      <w:r w:rsidR="006848C7" w:rsidRPr="006848C7">
        <w:rPr>
          <w:sz w:val="22"/>
          <w:szCs w:val="22"/>
        </w:rPr>
        <w:t>as espécies</w:t>
      </w:r>
      <w:r w:rsidR="00081465">
        <w:rPr>
          <w:sz w:val="22"/>
          <w:szCs w:val="22"/>
        </w:rPr>
        <w:t xml:space="preserve"> interpretativas</w:t>
      </w:r>
      <w:r w:rsidR="006848C7" w:rsidRPr="006848C7">
        <w:rPr>
          <w:sz w:val="22"/>
          <w:szCs w:val="22"/>
        </w:rPr>
        <w:t>: a) gramatical (literal); b) lógica (sistemática); c) histórica (evolutiva); d) teleológica (finalística).</w:t>
      </w:r>
      <w:r>
        <w:rPr>
          <w:sz w:val="22"/>
          <w:szCs w:val="22"/>
        </w:rPr>
        <w:t xml:space="preserve"> </w:t>
      </w:r>
      <w:r w:rsidR="006848C7" w:rsidRPr="006848C7">
        <w:rPr>
          <w:sz w:val="22"/>
        </w:rPr>
        <w:t xml:space="preserve">A interpretação gramatical corresponde a uma análise morfológica e sintática do texto normativo. </w:t>
      </w:r>
      <w:r w:rsidR="00EA50B6">
        <w:rPr>
          <w:sz w:val="22"/>
        </w:rPr>
        <w:t>A</w:t>
      </w:r>
      <w:r w:rsidR="006848C7" w:rsidRPr="006848C7">
        <w:rPr>
          <w:sz w:val="22"/>
        </w:rPr>
        <w:t xml:space="preserve"> </w:t>
      </w:r>
      <w:r w:rsidR="00314450">
        <w:rPr>
          <w:sz w:val="22"/>
        </w:rPr>
        <w:t>interpretação</w:t>
      </w:r>
      <w:r w:rsidR="006848C7" w:rsidRPr="006848C7">
        <w:rPr>
          <w:sz w:val="22"/>
        </w:rPr>
        <w:t xml:space="preserve"> lógica </w:t>
      </w:r>
      <w:r w:rsidR="00314450">
        <w:rPr>
          <w:sz w:val="22"/>
        </w:rPr>
        <w:t>c</w:t>
      </w:r>
      <w:r w:rsidR="006848C7" w:rsidRPr="006848C7">
        <w:rPr>
          <w:sz w:val="22"/>
        </w:rPr>
        <w:t>onsidera a norma como parte do todo</w:t>
      </w:r>
      <w:r w:rsidR="006848C7">
        <w:rPr>
          <w:sz w:val="22"/>
        </w:rPr>
        <w:t xml:space="preserve"> (BETIOLI, 2015, p.450).</w:t>
      </w:r>
      <w:r w:rsidR="008756CD">
        <w:rPr>
          <w:sz w:val="22"/>
        </w:rPr>
        <w:t xml:space="preserve"> </w:t>
      </w:r>
      <w:r w:rsidR="00EA50B6">
        <w:rPr>
          <w:sz w:val="22"/>
        </w:rPr>
        <w:t>A</w:t>
      </w:r>
      <w:r w:rsidR="006848C7" w:rsidRPr="006848C7">
        <w:rPr>
          <w:sz w:val="22"/>
        </w:rPr>
        <w:t xml:space="preserve"> </w:t>
      </w:r>
      <w:r w:rsidR="008756CD">
        <w:rPr>
          <w:sz w:val="22"/>
        </w:rPr>
        <w:t>interpretação</w:t>
      </w:r>
      <w:r w:rsidR="006848C7" w:rsidRPr="006848C7">
        <w:rPr>
          <w:sz w:val="22"/>
        </w:rPr>
        <w:t xml:space="preserve"> histórica tem como característica “esclarecer e interpretar a norma mediante a reconstituição do seu conteúdo significativo original” (KÜMPEL, 2009, p.173). A interpretação teleológica busca a adaptação da norma à realidade social</w:t>
      </w:r>
      <w:r w:rsidR="0036033C">
        <w:rPr>
          <w:sz w:val="22"/>
        </w:rPr>
        <w:t xml:space="preserve">, </w:t>
      </w:r>
      <w:r w:rsidR="006848C7" w:rsidRPr="006848C7">
        <w:rPr>
          <w:sz w:val="22"/>
        </w:rPr>
        <w:t>faz</w:t>
      </w:r>
      <w:r w:rsidR="0036033C">
        <w:rPr>
          <w:sz w:val="22"/>
        </w:rPr>
        <w:t>endo</w:t>
      </w:r>
      <w:r w:rsidR="006848C7" w:rsidRPr="006848C7">
        <w:rPr>
          <w:sz w:val="22"/>
        </w:rPr>
        <w:t xml:space="preserve"> da norma um meio para atingir um fim do modo mais efetivo </w:t>
      </w:r>
      <w:r w:rsidR="0036033C">
        <w:rPr>
          <w:sz w:val="22"/>
        </w:rPr>
        <w:t xml:space="preserve">(FILHO, </w:t>
      </w:r>
      <w:r w:rsidR="0036033C" w:rsidRPr="006848C7">
        <w:rPr>
          <w:sz w:val="22"/>
        </w:rPr>
        <w:t>2015, p.72)</w:t>
      </w:r>
      <w:r w:rsidR="00A87111">
        <w:rPr>
          <w:sz w:val="22"/>
        </w:rPr>
        <w:t>.</w:t>
      </w:r>
    </w:p>
    <w:p w:rsidR="00BF7314" w:rsidRDefault="00691EDF" w:rsidP="00BF7314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Dentre as situações que impactam negativamente na atuação dos órgãos oficiais de Perícia Criminal destacam-se as requisições para: a) averiguar se um determinado fato ocorreu; b) emissão de laudo preliminar de natureza diversa; c) confecção de laudo pericial para a esfera cível; d) realização de reprodução simulada de evento; e) transcrição de material audiovisual.</w:t>
      </w:r>
    </w:p>
    <w:p w:rsidR="00BF7314" w:rsidRDefault="00691EDF" w:rsidP="00BF7314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Quanto às requisições de exame pericial para averiguar a ocorrência de um fato, observa-se que d</w:t>
      </w:r>
      <w:r w:rsidR="00BF7314" w:rsidRPr="00BF7314">
        <w:rPr>
          <w:sz w:val="22"/>
        </w:rPr>
        <w:t xml:space="preserve">a redação do art. 158 do Código de Processo Penal é possível extrair dois preceitos </w:t>
      </w:r>
      <w:r>
        <w:rPr>
          <w:sz w:val="22"/>
        </w:rPr>
        <w:t>obrigatórios</w:t>
      </w:r>
      <w:r w:rsidR="00BF7314" w:rsidRPr="00BF7314">
        <w:rPr>
          <w:sz w:val="22"/>
        </w:rPr>
        <w:t xml:space="preserve"> para a realização do </w:t>
      </w:r>
      <w:r w:rsidR="00BF7314">
        <w:rPr>
          <w:sz w:val="22"/>
        </w:rPr>
        <w:t xml:space="preserve">exame de </w:t>
      </w:r>
      <w:r w:rsidR="00BF7314" w:rsidRPr="00BF7314">
        <w:rPr>
          <w:sz w:val="22"/>
        </w:rPr>
        <w:t xml:space="preserve">corpo de delito: a) existência de infração; b) existência de vestígios. </w:t>
      </w:r>
    </w:p>
    <w:p w:rsidR="006848C7" w:rsidRPr="006848C7" w:rsidRDefault="00691EDF" w:rsidP="001B241F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Logo, n</w:t>
      </w:r>
      <w:r w:rsidR="00BF7314" w:rsidRPr="00BF7314">
        <w:rPr>
          <w:sz w:val="22"/>
        </w:rPr>
        <w:t xml:space="preserve">ão há que se falar em exame pericial se o fato for atípico, assim como não cabe exame pericial em situações que não deixem vestígios ou que estes tenham. É requisito indispensável para realização de exame pericial o atendimento do binômio infração-vestígio, sob pena de banalizar o </w:t>
      </w:r>
      <w:r w:rsidR="00BF7314" w:rsidRPr="00BF7314">
        <w:rPr>
          <w:i/>
          <w:sz w:val="22"/>
        </w:rPr>
        <w:t>mister</w:t>
      </w:r>
      <w:r w:rsidR="00BF7314" w:rsidRPr="00BF7314">
        <w:rPr>
          <w:sz w:val="22"/>
        </w:rPr>
        <w:t xml:space="preserve"> pericial, transformando o exame pericial em uma mera atividade de fiscalização.</w:t>
      </w:r>
    </w:p>
    <w:p w:rsidR="00472E56" w:rsidRDefault="001B241F" w:rsidP="00CF6E3C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 xml:space="preserve">No que se refere às </w:t>
      </w:r>
      <w:r w:rsidR="00EE2FBB">
        <w:rPr>
          <w:sz w:val="22"/>
        </w:rPr>
        <w:t>requisições</w:t>
      </w:r>
      <w:r>
        <w:rPr>
          <w:sz w:val="22"/>
        </w:rPr>
        <w:t xml:space="preserve"> de</w:t>
      </w:r>
      <w:r w:rsidR="00472E56">
        <w:rPr>
          <w:sz w:val="22"/>
        </w:rPr>
        <w:t xml:space="preserve"> laudo preliminar, </w:t>
      </w:r>
      <w:r>
        <w:rPr>
          <w:sz w:val="22"/>
        </w:rPr>
        <w:t xml:space="preserve">verifica-se que </w:t>
      </w:r>
      <w:r w:rsidR="00472E56" w:rsidRPr="00472E56">
        <w:rPr>
          <w:sz w:val="22"/>
        </w:rPr>
        <w:t xml:space="preserve">o </w:t>
      </w:r>
      <w:r w:rsidR="00EE2FBB">
        <w:rPr>
          <w:sz w:val="22"/>
        </w:rPr>
        <w:t xml:space="preserve">legislador </w:t>
      </w:r>
      <w:r w:rsidR="00472E56" w:rsidRPr="00472E56">
        <w:rPr>
          <w:sz w:val="22"/>
        </w:rPr>
        <w:t>concedeu um prazo de até dez dias para elaboração do laudo pericial</w:t>
      </w:r>
      <w:r w:rsidR="00EE2FBB">
        <w:rPr>
          <w:sz w:val="22"/>
        </w:rPr>
        <w:t xml:space="preserve"> (</w:t>
      </w:r>
      <w:r w:rsidR="00EE2FBB" w:rsidRPr="00472E56">
        <w:rPr>
          <w:sz w:val="22"/>
        </w:rPr>
        <w:t>art. 160</w:t>
      </w:r>
      <w:r w:rsidR="00EE2FBB">
        <w:rPr>
          <w:sz w:val="22"/>
        </w:rPr>
        <w:t xml:space="preserve">, </w:t>
      </w:r>
      <w:r w:rsidR="00EE2FBB" w:rsidRPr="00472E56">
        <w:rPr>
          <w:sz w:val="22"/>
        </w:rPr>
        <w:t xml:space="preserve">parágrafo único do </w:t>
      </w:r>
      <w:r w:rsidR="00EE2FBB">
        <w:rPr>
          <w:sz w:val="22"/>
        </w:rPr>
        <w:t>CPP)</w:t>
      </w:r>
      <w:r w:rsidR="00472E56" w:rsidRPr="00472E56">
        <w:rPr>
          <w:sz w:val="22"/>
        </w:rPr>
        <w:t>.</w:t>
      </w:r>
      <w:r w:rsidR="00CF6E3C">
        <w:rPr>
          <w:sz w:val="22"/>
        </w:rPr>
        <w:t xml:space="preserve"> Tal prazo é a regra geral.</w:t>
      </w:r>
      <w:r>
        <w:rPr>
          <w:sz w:val="22"/>
        </w:rPr>
        <w:t xml:space="preserve"> Porém, </w:t>
      </w:r>
      <w:r w:rsidR="00EE2FBB">
        <w:rPr>
          <w:sz w:val="22"/>
        </w:rPr>
        <w:t>quando se trata especificamente de crime relacionado a substâncias entorpecentes</w:t>
      </w:r>
      <w:r w:rsidR="00472E56" w:rsidRPr="00472E56">
        <w:rPr>
          <w:sz w:val="22"/>
        </w:rPr>
        <w:t xml:space="preserve">, o legislador </w:t>
      </w:r>
      <w:r w:rsidR="00EE2FBB">
        <w:rPr>
          <w:sz w:val="22"/>
        </w:rPr>
        <w:t>estipulou como requisito para lavratura do auto de prisão em flagrante</w:t>
      </w:r>
      <w:r w:rsidR="00472E56" w:rsidRPr="00472E56">
        <w:rPr>
          <w:sz w:val="22"/>
        </w:rPr>
        <w:t xml:space="preserve"> um laudo que estipule a natureza e a quantidade da droga</w:t>
      </w:r>
      <w:r w:rsidR="00EE2FBB">
        <w:rPr>
          <w:sz w:val="22"/>
        </w:rPr>
        <w:t xml:space="preserve"> (art. 50, </w:t>
      </w:r>
      <w:r w:rsidR="00EE2FBB" w:rsidRPr="00472E56">
        <w:rPr>
          <w:sz w:val="22"/>
        </w:rPr>
        <w:t>§ 1º d</w:t>
      </w:r>
      <w:r w:rsidR="00EE2FBB">
        <w:rPr>
          <w:sz w:val="22"/>
        </w:rPr>
        <w:t>a</w:t>
      </w:r>
      <w:r w:rsidR="00EE2FBB" w:rsidRPr="00472E56">
        <w:rPr>
          <w:sz w:val="22"/>
        </w:rPr>
        <w:t xml:space="preserve"> Lei n. 11.343/06</w:t>
      </w:r>
      <w:r w:rsidR="00EE2FBB">
        <w:rPr>
          <w:sz w:val="22"/>
        </w:rPr>
        <w:t>)</w:t>
      </w:r>
      <w:r w:rsidR="00472E56" w:rsidRPr="00472E56">
        <w:rPr>
          <w:sz w:val="22"/>
        </w:rPr>
        <w:t xml:space="preserve">. </w:t>
      </w:r>
      <w:r w:rsidR="00CF6E3C">
        <w:rPr>
          <w:sz w:val="22"/>
        </w:rPr>
        <w:t xml:space="preserve">Assim, o laudo preliminar </w:t>
      </w:r>
      <w:r w:rsidR="00472E56" w:rsidRPr="00472E56">
        <w:rPr>
          <w:sz w:val="22"/>
        </w:rPr>
        <w:t xml:space="preserve">não se trata de uma nova modalidade de laudo pericial a ser produzido sempre que uma infração deixar vestígios, mas </w:t>
      </w:r>
      <w:r w:rsidR="00CF6E3C">
        <w:rPr>
          <w:sz w:val="22"/>
        </w:rPr>
        <w:t xml:space="preserve">de </w:t>
      </w:r>
      <w:r w:rsidR="00472E56" w:rsidRPr="00472E56">
        <w:rPr>
          <w:sz w:val="22"/>
        </w:rPr>
        <w:t>uma situação específica referente aos crimes relacionados à substância entorpecentes.</w:t>
      </w:r>
    </w:p>
    <w:p w:rsidR="007E3389" w:rsidRDefault="007E3389" w:rsidP="000070BE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 xml:space="preserve">Outra questão que merece destaque </w:t>
      </w:r>
      <w:r w:rsidR="000070BE">
        <w:rPr>
          <w:sz w:val="22"/>
        </w:rPr>
        <w:t>são as requisições para</w:t>
      </w:r>
      <w:r>
        <w:rPr>
          <w:sz w:val="22"/>
        </w:rPr>
        <w:t xml:space="preserve"> confecção de laudo pericial para a </w:t>
      </w:r>
      <w:r>
        <w:rPr>
          <w:sz w:val="22"/>
        </w:rPr>
        <w:lastRenderedPageBreak/>
        <w:t xml:space="preserve">esfera cível. </w:t>
      </w:r>
      <w:r w:rsidR="000070BE">
        <w:rPr>
          <w:sz w:val="22"/>
        </w:rPr>
        <w:t>A</w:t>
      </w:r>
      <w:r w:rsidRPr="007E3389">
        <w:rPr>
          <w:sz w:val="22"/>
        </w:rPr>
        <w:t xml:space="preserve"> Lei n. 13.105/15 </w:t>
      </w:r>
      <w:r w:rsidR="000070BE">
        <w:rPr>
          <w:sz w:val="22"/>
        </w:rPr>
        <w:t xml:space="preserve">(Código de Processo Civil) </w:t>
      </w:r>
      <w:r w:rsidRPr="007E3389">
        <w:rPr>
          <w:sz w:val="22"/>
        </w:rPr>
        <w:t>traz em seu art. 372 que “o juiz poderá admitir a utilização de prova produzida em outro processo”.</w:t>
      </w:r>
      <w:r w:rsidR="000070BE">
        <w:rPr>
          <w:sz w:val="22"/>
        </w:rPr>
        <w:t xml:space="preserve"> Tal possibilidade é denominada pela doutrina como “prova emprestada” e a finalidade social desse</w:t>
      </w:r>
      <w:r w:rsidRPr="007E3389">
        <w:rPr>
          <w:sz w:val="22"/>
        </w:rPr>
        <w:t xml:space="preserve"> instituto </w:t>
      </w:r>
      <w:r w:rsidR="000070BE">
        <w:rPr>
          <w:sz w:val="22"/>
        </w:rPr>
        <w:t xml:space="preserve">é </w:t>
      </w:r>
      <w:r w:rsidRPr="007E3389">
        <w:rPr>
          <w:sz w:val="22"/>
        </w:rPr>
        <w:t>conferir celeridade e economicidade aos processos, aproveitando elementos de prova que foram concebidos com observância dos preceitos legais e técnicos.</w:t>
      </w:r>
    </w:p>
    <w:p w:rsidR="002F0AC5" w:rsidRDefault="007E3389" w:rsidP="007E3389">
      <w:pPr>
        <w:widowControl w:val="0"/>
        <w:spacing w:line="240" w:lineRule="auto"/>
        <w:ind w:firstLine="851"/>
        <w:rPr>
          <w:sz w:val="22"/>
        </w:rPr>
      </w:pPr>
      <w:r w:rsidRPr="007E3389">
        <w:rPr>
          <w:sz w:val="22"/>
        </w:rPr>
        <w:t xml:space="preserve">Todavia, não se pode confundir o instituto da prova emprestada, que prevê a transladação da prova de um processo para o outro, com </w:t>
      </w:r>
      <w:r w:rsidR="00EE2FBB">
        <w:rPr>
          <w:sz w:val="22"/>
        </w:rPr>
        <w:t xml:space="preserve">o </w:t>
      </w:r>
      <w:r w:rsidRPr="007E3389">
        <w:rPr>
          <w:sz w:val="22"/>
        </w:rPr>
        <w:t xml:space="preserve">desvio de função </w:t>
      </w:r>
      <w:r w:rsidR="00EE2FBB">
        <w:rPr>
          <w:sz w:val="22"/>
        </w:rPr>
        <w:t xml:space="preserve">praticado </w:t>
      </w:r>
      <w:r w:rsidRPr="007E3389">
        <w:rPr>
          <w:sz w:val="22"/>
        </w:rPr>
        <w:t>quando determinada a produção de prova pericial cível por perito oficial de natureza criminal</w:t>
      </w:r>
      <w:r w:rsidR="002F0AC5">
        <w:rPr>
          <w:sz w:val="22"/>
        </w:rPr>
        <w:t>.</w:t>
      </w:r>
      <w:r w:rsidRPr="007E3389">
        <w:rPr>
          <w:sz w:val="22"/>
        </w:rPr>
        <w:t xml:space="preserve"> </w:t>
      </w:r>
    </w:p>
    <w:p w:rsidR="007E3389" w:rsidRPr="004017C8" w:rsidRDefault="002F0AC5" w:rsidP="002F0AC5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A</w:t>
      </w:r>
      <w:r w:rsidR="007E3389" w:rsidRPr="007E3389">
        <w:rPr>
          <w:sz w:val="22"/>
        </w:rPr>
        <w:t xml:space="preserve"> produção da prova pericial obedece a ritos distintos no processo penal e no processo civil.</w:t>
      </w:r>
      <w:r>
        <w:rPr>
          <w:sz w:val="22"/>
        </w:rPr>
        <w:t xml:space="preserve"> </w:t>
      </w:r>
      <w:r w:rsidR="007B022B">
        <w:rPr>
          <w:sz w:val="22"/>
        </w:rPr>
        <w:t>Como exemplo dessa distinção, cita-se que, n</w:t>
      </w:r>
      <w:r w:rsidR="007E3389" w:rsidRPr="007E3389">
        <w:rPr>
          <w:sz w:val="22"/>
        </w:rPr>
        <w:t xml:space="preserve">o âmbito criminal, somente após a produção da prova pericial pelo perito oficial é que o assistente técnico poderá apresentar parecer técnico (art. 159, § 5º do </w:t>
      </w:r>
      <w:r w:rsidR="000070BE">
        <w:rPr>
          <w:sz w:val="22"/>
        </w:rPr>
        <w:t>CPP</w:t>
      </w:r>
      <w:r w:rsidR="007E3389" w:rsidRPr="007E3389">
        <w:rPr>
          <w:sz w:val="22"/>
        </w:rPr>
        <w:t>)</w:t>
      </w:r>
      <w:r w:rsidR="00D011D8">
        <w:rPr>
          <w:sz w:val="22"/>
        </w:rPr>
        <w:t xml:space="preserve">, enquanto que na seara cível </w:t>
      </w:r>
      <w:r w:rsidR="00D011D8" w:rsidRPr="007E3389">
        <w:rPr>
          <w:sz w:val="22"/>
        </w:rPr>
        <w:t>“as partes terão ciência da data e do local designados pelo juiz ou indicados pelo perito para ter início a produção da prova”</w:t>
      </w:r>
      <w:r w:rsidR="00D011D8">
        <w:rPr>
          <w:sz w:val="22"/>
        </w:rPr>
        <w:t xml:space="preserve"> (art. 474 do CPC</w:t>
      </w:r>
      <w:r w:rsidR="00D011D8" w:rsidRPr="004017C8">
        <w:rPr>
          <w:sz w:val="22"/>
        </w:rPr>
        <w:t>)</w:t>
      </w:r>
      <w:r w:rsidR="007E3389" w:rsidRPr="004017C8">
        <w:rPr>
          <w:sz w:val="22"/>
        </w:rPr>
        <w:t>. A análise das fontes de prova utilizadas pelo perito oficial, quando solicitada pelo assistente técnico, será disponibilizada no ambiente do órgão oficial e na presença daquele servidor público.</w:t>
      </w:r>
      <w:r w:rsidR="00D011D8" w:rsidRPr="004017C8">
        <w:rPr>
          <w:sz w:val="22"/>
        </w:rPr>
        <w:t xml:space="preserve"> Por sua vez, na produção da prova cível, é assegurado aos assistentes das partes o “acesso e o acompanhamento das diligências e dos exames que realizar, com prévia comunicação, comprovada nos autos, com antecedência mínima de 5 (cinco) dias” (art. 466, § 2º do CPC).</w:t>
      </w:r>
    </w:p>
    <w:p w:rsidR="001B5F0E" w:rsidRPr="001B5F0E" w:rsidRDefault="001B5F0E" w:rsidP="001B5F0E">
      <w:pPr>
        <w:widowControl w:val="0"/>
        <w:spacing w:line="240" w:lineRule="auto"/>
        <w:ind w:firstLine="851"/>
        <w:rPr>
          <w:sz w:val="22"/>
        </w:rPr>
      </w:pPr>
      <w:r w:rsidRPr="004017C8">
        <w:rPr>
          <w:sz w:val="22"/>
        </w:rPr>
        <w:t xml:space="preserve">A reprodução simulada </w:t>
      </w:r>
      <w:r w:rsidR="00CF56DA" w:rsidRPr="004017C8">
        <w:rPr>
          <w:sz w:val="22"/>
        </w:rPr>
        <w:t>é outra questão que merece atenção</w:t>
      </w:r>
      <w:r w:rsidRPr="004017C8">
        <w:rPr>
          <w:sz w:val="22"/>
        </w:rPr>
        <w:t>.</w:t>
      </w:r>
      <w:r w:rsidR="00CF56DA" w:rsidRPr="004017C8">
        <w:rPr>
          <w:sz w:val="22"/>
        </w:rPr>
        <w:t xml:space="preserve"> </w:t>
      </w:r>
      <w:r w:rsidRPr="004017C8">
        <w:rPr>
          <w:sz w:val="22"/>
        </w:rPr>
        <w:t>Quando se interpreta sistematicamente</w:t>
      </w:r>
      <w:r w:rsidRPr="001B5F0E">
        <w:rPr>
          <w:sz w:val="22"/>
        </w:rPr>
        <w:t xml:space="preserve"> (logicamente) o Código de Processo Penal, constata-se que o legislador reservou um título inteiro (Título VII) daquele diploma normativo para tratar das disposições gerais e das espécies de provas admitidas na persecução penal. A reprodução simulada dos fatos, por sua vez, está inserida no art. 7º do Código de Processo Penal, no título (Título II) que trata do Inquérito Policial.</w:t>
      </w:r>
    </w:p>
    <w:p w:rsidR="001B5F0E" w:rsidRPr="001B5F0E" w:rsidRDefault="001B5F0E" w:rsidP="001B5F0E">
      <w:pPr>
        <w:widowControl w:val="0"/>
        <w:spacing w:line="240" w:lineRule="auto"/>
        <w:ind w:firstLine="851"/>
        <w:rPr>
          <w:sz w:val="22"/>
        </w:rPr>
      </w:pPr>
      <w:r w:rsidRPr="001B5F0E">
        <w:rPr>
          <w:sz w:val="22"/>
        </w:rPr>
        <w:t xml:space="preserve">Enquanto o exame do corpo de delito é indispensável (art. 158 do </w:t>
      </w:r>
      <w:r w:rsidR="00FF4A92">
        <w:rPr>
          <w:sz w:val="22"/>
        </w:rPr>
        <w:t>CPP</w:t>
      </w:r>
      <w:r w:rsidRPr="001B5F0E">
        <w:rPr>
          <w:sz w:val="22"/>
        </w:rPr>
        <w:t xml:space="preserve">), a reprodução simulada dos fatos, além de ser uma faculdade da autoridade policial, tem a sua realização vedada caso atente contra a moralidade ou a ordem pública. </w:t>
      </w:r>
      <w:r w:rsidR="00710C8A">
        <w:rPr>
          <w:sz w:val="22"/>
        </w:rPr>
        <w:t>E</w:t>
      </w:r>
      <w:r w:rsidRPr="001B5F0E">
        <w:rPr>
          <w:sz w:val="22"/>
        </w:rPr>
        <w:t xml:space="preserve">m uma interpretação lógica, não há como atribuir à reprodução simulada dos fatos o </w:t>
      </w:r>
      <w:r w:rsidRPr="00FF4A92">
        <w:rPr>
          <w:i/>
          <w:sz w:val="22"/>
        </w:rPr>
        <w:t>status</w:t>
      </w:r>
      <w:r w:rsidRPr="001B5F0E">
        <w:rPr>
          <w:sz w:val="22"/>
        </w:rPr>
        <w:t xml:space="preserve"> de prova pericial, sob pena de </w:t>
      </w:r>
      <w:r w:rsidR="00710C8A">
        <w:rPr>
          <w:sz w:val="22"/>
        </w:rPr>
        <w:t>legitimar</w:t>
      </w:r>
      <w:r w:rsidRPr="001B5F0E">
        <w:rPr>
          <w:sz w:val="22"/>
        </w:rPr>
        <w:t xml:space="preserve"> de uma versão fantasiosa simplesmente pelo fato de ela ser </w:t>
      </w:r>
      <w:r w:rsidR="00710C8A">
        <w:rPr>
          <w:sz w:val="22"/>
        </w:rPr>
        <w:t>factível</w:t>
      </w:r>
      <w:r w:rsidRPr="001B5F0E">
        <w:rPr>
          <w:sz w:val="22"/>
        </w:rPr>
        <w:t xml:space="preserve"> do ponto de vista técnico-científico.</w:t>
      </w:r>
    </w:p>
    <w:p w:rsidR="007C77A2" w:rsidRDefault="007C77A2" w:rsidP="001B5F0E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 xml:space="preserve">Por fim, </w:t>
      </w:r>
      <w:r w:rsidR="00F37BF8">
        <w:rPr>
          <w:sz w:val="22"/>
        </w:rPr>
        <w:t>quanto à</w:t>
      </w:r>
      <w:r w:rsidR="001B5F0E" w:rsidRPr="001B5F0E">
        <w:rPr>
          <w:sz w:val="22"/>
        </w:rPr>
        <w:t xml:space="preserve"> transcrição </w:t>
      </w:r>
      <w:r w:rsidR="00F37BF8">
        <w:rPr>
          <w:sz w:val="22"/>
        </w:rPr>
        <w:t>de material audiovisual</w:t>
      </w:r>
      <w:r w:rsidR="001B5F0E" w:rsidRPr="001B5F0E">
        <w:rPr>
          <w:sz w:val="22"/>
        </w:rPr>
        <w:t xml:space="preserve"> (degravação)</w:t>
      </w:r>
      <w:r w:rsidR="00F37BF8">
        <w:rPr>
          <w:sz w:val="22"/>
        </w:rPr>
        <w:t xml:space="preserve">, </w:t>
      </w:r>
      <w:r>
        <w:rPr>
          <w:sz w:val="22"/>
        </w:rPr>
        <w:t>a</w:t>
      </w:r>
      <w:r w:rsidR="001B5F0E" w:rsidRPr="001B5F0E">
        <w:rPr>
          <w:sz w:val="22"/>
        </w:rPr>
        <w:t xml:space="preserve"> Associação Brasileira de Criminalística (2010) definiu que “a transcrição fonográfica de material de áudio de satisfatória inteligibilidade auditiva, no qual não paire dúvidas sobre o seu conteúdo, não é perícia”.</w:t>
      </w:r>
    </w:p>
    <w:p w:rsidR="001B5F0E" w:rsidRDefault="007C77A2" w:rsidP="001B5F0E">
      <w:pPr>
        <w:widowControl w:val="0"/>
        <w:spacing w:line="240" w:lineRule="auto"/>
        <w:ind w:firstLine="851"/>
        <w:rPr>
          <w:sz w:val="22"/>
        </w:rPr>
      </w:pPr>
      <w:r w:rsidRPr="001B5F0E">
        <w:rPr>
          <w:sz w:val="22"/>
        </w:rPr>
        <w:t xml:space="preserve">Tal interpretação </w:t>
      </w:r>
      <w:r>
        <w:rPr>
          <w:sz w:val="22"/>
        </w:rPr>
        <w:t>é</w:t>
      </w:r>
      <w:r w:rsidR="004017C8">
        <w:rPr>
          <w:sz w:val="22"/>
        </w:rPr>
        <w:t>,</w:t>
      </w:r>
      <w:r>
        <w:rPr>
          <w:sz w:val="22"/>
        </w:rPr>
        <w:t xml:space="preserve"> </w:t>
      </w:r>
      <w:r w:rsidR="004017C8">
        <w:rPr>
          <w:sz w:val="22"/>
        </w:rPr>
        <w:t xml:space="preserve">inclusive, </w:t>
      </w:r>
      <w:r>
        <w:rPr>
          <w:sz w:val="22"/>
        </w:rPr>
        <w:t>reforçada pela</w:t>
      </w:r>
      <w:r w:rsidRPr="001B5F0E">
        <w:rPr>
          <w:sz w:val="22"/>
        </w:rPr>
        <w:t xml:space="preserve"> Resolução n. 105 do Conselho Nacional de Justiça, </w:t>
      </w:r>
      <w:r>
        <w:rPr>
          <w:sz w:val="22"/>
        </w:rPr>
        <w:t xml:space="preserve">que </w:t>
      </w:r>
      <w:r w:rsidRPr="001B5F0E">
        <w:rPr>
          <w:sz w:val="22"/>
        </w:rPr>
        <w:t>fundamenta em seu art. 2º que “os depoimentos documentados por meio audiovisual não precisam de transcrição”</w:t>
      </w:r>
      <w:r>
        <w:rPr>
          <w:sz w:val="22"/>
        </w:rPr>
        <w:t xml:space="preserve">, disciplinando que, caso o magistrado prefira examinar o material em meio escrito, </w:t>
      </w:r>
      <w:r w:rsidR="004017C8">
        <w:rPr>
          <w:sz w:val="22"/>
        </w:rPr>
        <w:t>deverá providenciar</w:t>
      </w:r>
      <w:r>
        <w:rPr>
          <w:sz w:val="22"/>
        </w:rPr>
        <w:t xml:space="preserve"> a transcrição em seu próprio gabinete</w:t>
      </w:r>
      <w:r w:rsidRPr="001B5F0E">
        <w:rPr>
          <w:sz w:val="22"/>
        </w:rPr>
        <w:t>.</w:t>
      </w:r>
    </w:p>
    <w:p w:rsidR="00742134" w:rsidRPr="001B5F0E" w:rsidRDefault="004017C8" w:rsidP="001B5F0E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Além de a degravação não ostentar um caráter técnico-científico, r</w:t>
      </w:r>
      <w:r w:rsidR="00742134" w:rsidRPr="001B5F0E">
        <w:rPr>
          <w:sz w:val="22"/>
        </w:rPr>
        <w:t>equisitar a conversão de um meio de prova previsto em lei</w:t>
      </w:r>
      <w:r w:rsidR="00742134">
        <w:rPr>
          <w:sz w:val="22"/>
        </w:rPr>
        <w:t xml:space="preserve"> </w:t>
      </w:r>
      <w:r w:rsidR="00742134" w:rsidRPr="001B5F0E">
        <w:rPr>
          <w:sz w:val="22"/>
        </w:rPr>
        <w:t xml:space="preserve">em prova pericial, não só </w:t>
      </w:r>
      <w:r>
        <w:rPr>
          <w:sz w:val="22"/>
        </w:rPr>
        <w:t xml:space="preserve">carece de </w:t>
      </w:r>
      <w:r w:rsidR="00742134" w:rsidRPr="001B5F0E">
        <w:rPr>
          <w:sz w:val="22"/>
        </w:rPr>
        <w:t>respaldo jurídico, como configura grave ofensa ao princípio da persuasão racional do magistrado, diante da livre apreciação dos elementos de prova.</w:t>
      </w:r>
    </w:p>
    <w:p w:rsidR="001B5F0E" w:rsidRPr="001B5F0E" w:rsidRDefault="00742134" w:rsidP="001B5F0E">
      <w:pPr>
        <w:widowControl w:val="0"/>
        <w:spacing w:line="240" w:lineRule="auto"/>
        <w:ind w:firstLine="851"/>
        <w:rPr>
          <w:sz w:val="22"/>
        </w:rPr>
      </w:pPr>
      <w:r>
        <w:rPr>
          <w:sz w:val="22"/>
        </w:rPr>
        <w:t>Com isso, conclui-se que h</w:t>
      </w:r>
      <w:r w:rsidR="001B5F0E" w:rsidRPr="001B5F0E">
        <w:rPr>
          <w:sz w:val="22"/>
        </w:rPr>
        <w:t xml:space="preserve">á duas </w:t>
      </w:r>
      <w:r>
        <w:rPr>
          <w:sz w:val="22"/>
        </w:rPr>
        <w:t>proposições</w:t>
      </w:r>
      <w:r w:rsidR="001B5F0E" w:rsidRPr="001B5F0E">
        <w:rPr>
          <w:sz w:val="22"/>
        </w:rPr>
        <w:t xml:space="preserve"> inegáveis quando se trata de prova pericial no Brasil. A primeira delas é que o laudo pericial exerce fundamental importância na persecução penal, diante do caráter técnico-científico que reveste essa espécie de prova. A segunda </w:t>
      </w:r>
      <w:r>
        <w:rPr>
          <w:sz w:val="22"/>
        </w:rPr>
        <w:t>proposição</w:t>
      </w:r>
      <w:r w:rsidR="001B5F0E" w:rsidRPr="001B5F0E">
        <w:rPr>
          <w:sz w:val="22"/>
        </w:rPr>
        <w:t xml:space="preserve"> é que as requisições indiscriminadas de exames periciais têm sobrecarregado os órgãos oficiais de Perícia Criminal, que possu</w:t>
      </w:r>
      <w:r w:rsidR="004017C8">
        <w:rPr>
          <w:sz w:val="22"/>
        </w:rPr>
        <w:t xml:space="preserve">íam em 2012 </w:t>
      </w:r>
      <w:r w:rsidR="001B5F0E" w:rsidRPr="001B5F0E">
        <w:rPr>
          <w:sz w:val="22"/>
        </w:rPr>
        <w:t>um passivo de 52 mil laudos referente a necropsias e locais de homicídio.</w:t>
      </w:r>
    </w:p>
    <w:p w:rsidR="007C77A2" w:rsidRDefault="001B5F0E" w:rsidP="00742134">
      <w:pPr>
        <w:widowControl w:val="0"/>
        <w:spacing w:line="240" w:lineRule="auto"/>
        <w:ind w:firstLine="851"/>
        <w:rPr>
          <w:sz w:val="22"/>
        </w:rPr>
      </w:pPr>
      <w:r w:rsidRPr="001B5F0E">
        <w:rPr>
          <w:sz w:val="22"/>
        </w:rPr>
        <w:t>Apesar da tentativa de aumentar a produtividade de laudos periciais por parte do legislador Processual Penal, percebe-se que não houve alteração significativa, conforme demonstra</w:t>
      </w:r>
      <w:r w:rsidR="004017C8">
        <w:rPr>
          <w:sz w:val="22"/>
        </w:rPr>
        <w:t>m os dados apresentados</w:t>
      </w:r>
      <w:r w:rsidRPr="001B5F0E">
        <w:rPr>
          <w:sz w:val="22"/>
        </w:rPr>
        <w:t>.</w:t>
      </w:r>
      <w:r w:rsidR="00742134">
        <w:rPr>
          <w:sz w:val="22"/>
        </w:rPr>
        <w:t xml:space="preserve"> </w:t>
      </w:r>
      <w:r w:rsidR="004017C8">
        <w:rPr>
          <w:sz w:val="22"/>
        </w:rPr>
        <w:t>Assim, n</w:t>
      </w:r>
      <w:r w:rsidR="007C77A2" w:rsidRPr="001B5F0E">
        <w:rPr>
          <w:sz w:val="22"/>
        </w:rPr>
        <w:t>ão há como evitar a falência dos órgãos oficiais de Perícia Criminal de todo o país sem que se proceda com uma racionalização das requisições de exames periciais.</w:t>
      </w:r>
      <w:r w:rsidR="00742134">
        <w:rPr>
          <w:sz w:val="22"/>
        </w:rPr>
        <w:t xml:space="preserve"> Uma ferramenta que se apresenta apta a viabilizar essa racionalização é a hermenêutica jurídica</w:t>
      </w:r>
      <w:r w:rsidR="00367290">
        <w:rPr>
          <w:sz w:val="22"/>
        </w:rPr>
        <w:t>.</w:t>
      </w:r>
      <w:r w:rsidR="00742134">
        <w:rPr>
          <w:sz w:val="22"/>
        </w:rPr>
        <w:t xml:space="preserve"> </w:t>
      </w:r>
      <w:r w:rsidR="00367290">
        <w:rPr>
          <w:sz w:val="22"/>
        </w:rPr>
        <w:t>P</w:t>
      </w:r>
      <w:r w:rsidR="00742134">
        <w:rPr>
          <w:sz w:val="22"/>
        </w:rPr>
        <w:t>or meio d</w:t>
      </w:r>
      <w:r w:rsidR="007C77A2" w:rsidRPr="001B5F0E">
        <w:rPr>
          <w:sz w:val="22"/>
        </w:rPr>
        <w:t xml:space="preserve">o emprego sistemático das espécies hermenêuticas </w:t>
      </w:r>
      <w:r w:rsidR="00367290">
        <w:rPr>
          <w:sz w:val="22"/>
        </w:rPr>
        <w:t>pode-</w:t>
      </w:r>
      <w:r w:rsidR="00742134">
        <w:rPr>
          <w:sz w:val="22"/>
        </w:rPr>
        <w:t xml:space="preserve">se atingir </w:t>
      </w:r>
      <w:r w:rsidR="007C77A2" w:rsidRPr="001B5F0E">
        <w:rPr>
          <w:sz w:val="22"/>
        </w:rPr>
        <w:t xml:space="preserve">a finalidade social </w:t>
      </w:r>
      <w:r w:rsidR="00742134">
        <w:rPr>
          <w:sz w:val="22"/>
        </w:rPr>
        <w:t>das normas</w:t>
      </w:r>
      <w:r w:rsidR="004017C8">
        <w:rPr>
          <w:sz w:val="22"/>
        </w:rPr>
        <w:t>, evitando interpretações extensivas equivocadas de uma norma processual penal obsoleta</w:t>
      </w:r>
      <w:r w:rsidR="00742134">
        <w:rPr>
          <w:sz w:val="22"/>
        </w:rPr>
        <w:t>.</w:t>
      </w:r>
    </w:p>
    <w:p w:rsidR="007C77A2" w:rsidRPr="001B5F0E" w:rsidRDefault="007C77A2" w:rsidP="001B5F0E">
      <w:pPr>
        <w:widowControl w:val="0"/>
        <w:spacing w:line="240" w:lineRule="auto"/>
        <w:ind w:firstLine="851"/>
        <w:rPr>
          <w:sz w:val="22"/>
        </w:rPr>
      </w:pPr>
    </w:p>
    <w:p w:rsidR="0065142A" w:rsidRPr="00086424" w:rsidRDefault="0065142A" w:rsidP="0065142A">
      <w:pPr>
        <w:pStyle w:val="Nivel1"/>
        <w:spacing w:line="240" w:lineRule="auto"/>
        <w:rPr>
          <w:sz w:val="20"/>
          <w:szCs w:val="20"/>
        </w:rPr>
      </w:pPr>
      <w:bookmarkStart w:id="1" w:name="_Toc311228598"/>
      <w:r w:rsidRPr="00086424">
        <w:rPr>
          <w:sz w:val="20"/>
          <w:szCs w:val="20"/>
        </w:rPr>
        <w:t>REFERÊNCIAS BIBLIOGRÁFICAS</w:t>
      </w:r>
      <w:bookmarkEnd w:id="1"/>
    </w:p>
    <w:p w:rsidR="001B5F0E" w:rsidRPr="00086424" w:rsidRDefault="001B5F0E" w:rsidP="00BD5E9F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i/>
          <w:sz w:val="20"/>
          <w:szCs w:val="20"/>
        </w:rPr>
      </w:pPr>
      <w:r w:rsidRPr="00086424">
        <w:rPr>
          <w:sz w:val="20"/>
          <w:szCs w:val="20"/>
        </w:rPr>
        <w:t xml:space="preserve">ASSOCIAÇÃO BRASILEIRA DE CRIMINALÍSTICA. </w:t>
      </w:r>
      <w:r w:rsidRPr="00086424">
        <w:rPr>
          <w:i/>
          <w:sz w:val="20"/>
          <w:szCs w:val="20"/>
        </w:rPr>
        <w:t>Deliberação Técnica - VIII Seminário Nacional de Fonética Forense</w:t>
      </w:r>
      <w:r w:rsidRPr="00086424">
        <w:rPr>
          <w:sz w:val="20"/>
          <w:szCs w:val="20"/>
        </w:rPr>
        <w:t>, 2010. Disponível em: http://abcperitosoficiais.org.br/index.php/sobre-a-abc/documentos, Acesso em: 07 de junho de 2017;</w:t>
      </w:r>
    </w:p>
    <w:p w:rsidR="001B5F0E" w:rsidRPr="00086424" w:rsidRDefault="001B5F0E" w:rsidP="00BD5E9F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086424">
        <w:rPr>
          <w:sz w:val="20"/>
          <w:szCs w:val="20"/>
        </w:rPr>
        <w:t xml:space="preserve">BETIOLI, Antonio Bento. </w:t>
      </w:r>
      <w:r w:rsidRPr="00086424">
        <w:rPr>
          <w:i/>
          <w:sz w:val="20"/>
          <w:szCs w:val="20"/>
        </w:rPr>
        <w:t>Introdução ao Direito</w:t>
      </w:r>
      <w:r w:rsidRPr="00086424">
        <w:rPr>
          <w:sz w:val="20"/>
          <w:szCs w:val="20"/>
        </w:rPr>
        <w:t>. 14.ed. São Paulo: Saraiva, 2015;</w:t>
      </w:r>
    </w:p>
    <w:p w:rsidR="007E1055" w:rsidRPr="00086424" w:rsidRDefault="007E1055" w:rsidP="007E1055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086424">
        <w:rPr>
          <w:sz w:val="20"/>
          <w:szCs w:val="20"/>
        </w:rPr>
        <w:t>FILHO, Glauco Barreira</w:t>
      </w:r>
      <w:r>
        <w:rPr>
          <w:sz w:val="20"/>
          <w:szCs w:val="20"/>
        </w:rPr>
        <w:t xml:space="preserve"> Magalhães</w:t>
      </w:r>
      <w:r w:rsidRPr="00086424">
        <w:rPr>
          <w:sz w:val="20"/>
          <w:szCs w:val="20"/>
        </w:rPr>
        <w:t xml:space="preserve">. </w:t>
      </w:r>
      <w:r w:rsidRPr="00086424">
        <w:rPr>
          <w:i/>
          <w:sz w:val="20"/>
          <w:szCs w:val="20"/>
        </w:rPr>
        <w:t>Curso de Hermenêutica Jurídica.</w:t>
      </w:r>
      <w:r w:rsidRPr="00086424">
        <w:rPr>
          <w:sz w:val="20"/>
          <w:szCs w:val="20"/>
        </w:rPr>
        <w:t xml:space="preserve"> 5.ed. São Paulo: Atlas, 2015;</w:t>
      </w:r>
    </w:p>
    <w:p w:rsidR="001B5F0E" w:rsidRPr="00086424" w:rsidRDefault="001B5F0E" w:rsidP="00BD5E9F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086424">
        <w:rPr>
          <w:sz w:val="20"/>
          <w:szCs w:val="20"/>
        </w:rPr>
        <w:t xml:space="preserve">KÜMPEL, Vitor Frederico. </w:t>
      </w:r>
      <w:r w:rsidRPr="00086424">
        <w:rPr>
          <w:i/>
          <w:sz w:val="20"/>
          <w:szCs w:val="20"/>
        </w:rPr>
        <w:t>Noções gerais de Direito e formação humanística</w:t>
      </w:r>
      <w:r w:rsidRPr="00086424">
        <w:rPr>
          <w:sz w:val="20"/>
          <w:szCs w:val="20"/>
        </w:rPr>
        <w:t>. São Paulo: Saraiva, 2012;</w:t>
      </w:r>
    </w:p>
    <w:p w:rsidR="001B5F0E" w:rsidRPr="00086424" w:rsidRDefault="001B5F0E" w:rsidP="00BD5E9F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086424">
        <w:rPr>
          <w:sz w:val="20"/>
          <w:szCs w:val="20"/>
        </w:rPr>
        <w:lastRenderedPageBreak/>
        <w:t>MINISTÉRIO DA JUSTIÇA.</w:t>
      </w:r>
      <w:r w:rsidRPr="00086424">
        <w:rPr>
          <w:i/>
          <w:sz w:val="20"/>
          <w:szCs w:val="20"/>
        </w:rPr>
        <w:t xml:space="preserve"> Diagnóstico da Perícia Criminal no Brasil. </w:t>
      </w:r>
      <w:r w:rsidRPr="00086424">
        <w:rPr>
          <w:sz w:val="20"/>
          <w:szCs w:val="20"/>
        </w:rPr>
        <w:t>Brasília: Senasp, 2012;</w:t>
      </w:r>
    </w:p>
    <w:p w:rsidR="001B5F0E" w:rsidRPr="00086424" w:rsidRDefault="001B5F0E" w:rsidP="00BD5E9F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086424">
        <w:rPr>
          <w:sz w:val="20"/>
          <w:szCs w:val="20"/>
        </w:rPr>
        <w:t xml:space="preserve">SINESP. </w:t>
      </w:r>
      <w:r w:rsidRPr="00086424">
        <w:rPr>
          <w:i/>
          <w:sz w:val="20"/>
          <w:szCs w:val="20"/>
        </w:rPr>
        <w:t>Estatísticas Criminais</w:t>
      </w:r>
      <w:r w:rsidRPr="00086424">
        <w:rPr>
          <w:sz w:val="20"/>
          <w:szCs w:val="20"/>
        </w:rPr>
        <w:t xml:space="preserve">, 2016. Disponível em: https://www.sinesp.gov.br/estatisticas-publicas. Acesso em: 01 de maio de 2017; </w:t>
      </w:r>
    </w:p>
    <w:p w:rsidR="001D2633" w:rsidRPr="00086424" w:rsidRDefault="001B5F0E" w:rsidP="001B5F0E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086424">
        <w:rPr>
          <w:sz w:val="20"/>
          <w:szCs w:val="20"/>
        </w:rPr>
        <w:t xml:space="preserve">VELHO, Jesus Antonio, COSTA, Karina Alves, DAMASCENO, Clayton Tadeu Mota. </w:t>
      </w:r>
      <w:r w:rsidRPr="00086424">
        <w:rPr>
          <w:i/>
          <w:sz w:val="20"/>
          <w:szCs w:val="20"/>
        </w:rPr>
        <w:t xml:space="preserve">Locais de Crime: Dos vestígios à dinâmica criminosa. </w:t>
      </w:r>
      <w:r w:rsidRPr="00086424">
        <w:rPr>
          <w:sz w:val="20"/>
          <w:szCs w:val="20"/>
        </w:rPr>
        <w:t>Campinas: Millennium,</w:t>
      </w:r>
      <w:r w:rsidR="00BD5E9F" w:rsidRPr="00086424">
        <w:rPr>
          <w:sz w:val="20"/>
          <w:szCs w:val="20"/>
        </w:rPr>
        <w:t xml:space="preserve"> 2013.</w:t>
      </w:r>
    </w:p>
    <w:sectPr w:rsidR="001D2633" w:rsidRPr="00086424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A9" w:rsidRDefault="000242A9" w:rsidP="003752F7">
      <w:pPr>
        <w:spacing w:line="240" w:lineRule="auto"/>
      </w:pPr>
      <w:r>
        <w:separator/>
      </w:r>
    </w:p>
  </w:endnote>
  <w:endnote w:type="continuationSeparator" w:id="0">
    <w:p w:rsidR="000242A9" w:rsidRDefault="000242A9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272863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A9" w:rsidRDefault="000242A9" w:rsidP="003752F7">
      <w:pPr>
        <w:spacing w:line="240" w:lineRule="auto"/>
      </w:pPr>
      <w:r>
        <w:separator/>
      </w:r>
    </w:p>
  </w:footnote>
  <w:footnote w:type="continuationSeparator" w:id="0">
    <w:p w:rsidR="000242A9" w:rsidRDefault="000242A9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7A65"/>
    <w:multiLevelType w:val="hybridMultilevel"/>
    <w:tmpl w:val="EBCC8EBE"/>
    <w:lvl w:ilvl="0" w:tplc="778812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0BE"/>
    <w:rsid w:val="00007771"/>
    <w:rsid w:val="000110B8"/>
    <w:rsid w:val="000141D6"/>
    <w:rsid w:val="00014DC9"/>
    <w:rsid w:val="0002004E"/>
    <w:rsid w:val="000242A9"/>
    <w:rsid w:val="00026BC8"/>
    <w:rsid w:val="00042E0A"/>
    <w:rsid w:val="00043C0D"/>
    <w:rsid w:val="00051A3B"/>
    <w:rsid w:val="00053737"/>
    <w:rsid w:val="00053FCD"/>
    <w:rsid w:val="00080175"/>
    <w:rsid w:val="00081465"/>
    <w:rsid w:val="00086424"/>
    <w:rsid w:val="00090BA6"/>
    <w:rsid w:val="000B38F5"/>
    <w:rsid w:val="000C08CC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33168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645D"/>
    <w:rsid w:val="001A715A"/>
    <w:rsid w:val="001B241F"/>
    <w:rsid w:val="001B3C69"/>
    <w:rsid w:val="001B5F0E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863"/>
    <w:rsid w:val="00272C6D"/>
    <w:rsid w:val="00273933"/>
    <w:rsid w:val="00281DFF"/>
    <w:rsid w:val="00293268"/>
    <w:rsid w:val="00293989"/>
    <w:rsid w:val="002A1F55"/>
    <w:rsid w:val="002A3271"/>
    <w:rsid w:val="002C1772"/>
    <w:rsid w:val="002C1DE6"/>
    <w:rsid w:val="002D02FF"/>
    <w:rsid w:val="002F0AC5"/>
    <w:rsid w:val="002F7B50"/>
    <w:rsid w:val="003037F9"/>
    <w:rsid w:val="00314450"/>
    <w:rsid w:val="003212D0"/>
    <w:rsid w:val="0032165A"/>
    <w:rsid w:val="00334F29"/>
    <w:rsid w:val="0034706C"/>
    <w:rsid w:val="00353468"/>
    <w:rsid w:val="00357D88"/>
    <w:rsid w:val="0036033C"/>
    <w:rsid w:val="00367290"/>
    <w:rsid w:val="00372A5D"/>
    <w:rsid w:val="003752F7"/>
    <w:rsid w:val="0037720B"/>
    <w:rsid w:val="00382120"/>
    <w:rsid w:val="003928AB"/>
    <w:rsid w:val="003D455E"/>
    <w:rsid w:val="003E761E"/>
    <w:rsid w:val="003F0931"/>
    <w:rsid w:val="003F369B"/>
    <w:rsid w:val="003F6A7C"/>
    <w:rsid w:val="004017C8"/>
    <w:rsid w:val="00423161"/>
    <w:rsid w:val="00425FB9"/>
    <w:rsid w:val="004264DD"/>
    <w:rsid w:val="00426E0E"/>
    <w:rsid w:val="00442AB9"/>
    <w:rsid w:val="00460049"/>
    <w:rsid w:val="004600AE"/>
    <w:rsid w:val="00460CF2"/>
    <w:rsid w:val="00472E56"/>
    <w:rsid w:val="00473BD3"/>
    <w:rsid w:val="00474F95"/>
    <w:rsid w:val="00477EB8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16975"/>
    <w:rsid w:val="006347BF"/>
    <w:rsid w:val="006378FF"/>
    <w:rsid w:val="00647C59"/>
    <w:rsid w:val="0065142A"/>
    <w:rsid w:val="00672251"/>
    <w:rsid w:val="006762AA"/>
    <w:rsid w:val="00677924"/>
    <w:rsid w:val="006848C7"/>
    <w:rsid w:val="00690E86"/>
    <w:rsid w:val="00691EDF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0C8A"/>
    <w:rsid w:val="007148BD"/>
    <w:rsid w:val="00725F93"/>
    <w:rsid w:val="00733C52"/>
    <w:rsid w:val="00734E3C"/>
    <w:rsid w:val="00742134"/>
    <w:rsid w:val="00746985"/>
    <w:rsid w:val="00755A52"/>
    <w:rsid w:val="0078302E"/>
    <w:rsid w:val="00784AD1"/>
    <w:rsid w:val="0079623C"/>
    <w:rsid w:val="007A109C"/>
    <w:rsid w:val="007B022B"/>
    <w:rsid w:val="007C522E"/>
    <w:rsid w:val="007C77A2"/>
    <w:rsid w:val="007D0DBB"/>
    <w:rsid w:val="007E1055"/>
    <w:rsid w:val="007E2E1A"/>
    <w:rsid w:val="007E3389"/>
    <w:rsid w:val="007F3C01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756CD"/>
    <w:rsid w:val="008949B2"/>
    <w:rsid w:val="008B5B05"/>
    <w:rsid w:val="008B686C"/>
    <w:rsid w:val="008B7F04"/>
    <w:rsid w:val="008D7AB4"/>
    <w:rsid w:val="008E2991"/>
    <w:rsid w:val="00910D22"/>
    <w:rsid w:val="009217B6"/>
    <w:rsid w:val="00941837"/>
    <w:rsid w:val="00950EFD"/>
    <w:rsid w:val="00973188"/>
    <w:rsid w:val="00987B13"/>
    <w:rsid w:val="00987E5E"/>
    <w:rsid w:val="009A202B"/>
    <w:rsid w:val="009A5F55"/>
    <w:rsid w:val="009C341C"/>
    <w:rsid w:val="009C3761"/>
    <w:rsid w:val="009C4AC1"/>
    <w:rsid w:val="009D33AC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87111"/>
    <w:rsid w:val="00A9079D"/>
    <w:rsid w:val="00A9585D"/>
    <w:rsid w:val="00AB33C7"/>
    <w:rsid w:val="00AD452A"/>
    <w:rsid w:val="00AE4966"/>
    <w:rsid w:val="00AE583C"/>
    <w:rsid w:val="00AF0BDD"/>
    <w:rsid w:val="00AF7ADE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B7497"/>
    <w:rsid w:val="00BD2918"/>
    <w:rsid w:val="00BD5E9F"/>
    <w:rsid w:val="00BF6353"/>
    <w:rsid w:val="00BF7314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25EB"/>
    <w:rsid w:val="00CF3290"/>
    <w:rsid w:val="00CF56DA"/>
    <w:rsid w:val="00CF5D2A"/>
    <w:rsid w:val="00CF6E3C"/>
    <w:rsid w:val="00D011D8"/>
    <w:rsid w:val="00D026FA"/>
    <w:rsid w:val="00D03AB2"/>
    <w:rsid w:val="00D07C04"/>
    <w:rsid w:val="00D102E7"/>
    <w:rsid w:val="00D119F9"/>
    <w:rsid w:val="00D31E9E"/>
    <w:rsid w:val="00D348C0"/>
    <w:rsid w:val="00D435D6"/>
    <w:rsid w:val="00D55EBC"/>
    <w:rsid w:val="00D56F69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1727F"/>
    <w:rsid w:val="00E30AA9"/>
    <w:rsid w:val="00E31869"/>
    <w:rsid w:val="00E573A1"/>
    <w:rsid w:val="00E65FFC"/>
    <w:rsid w:val="00E818EE"/>
    <w:rsid w:val="00E81DDF"/>
    <w:rsid w:val="00E90F80"/>
    <w:rsid w:val="00E95B5A"/>
    <w:rsid w:val="00E97951"/>
    <w:rsid w:val="00E979DF"/>
    <w:rsid w:val="00EA09A3"/>
    <w:rsid w:val="00EA3AA3"/>
    <w:rsid w:val="00EA47BE"/>
    <w:rsid w:val="00EA4AD4"/>
    <w:rsid w:val="00EA50B6"/>
    <w:rsid w:val="00EC6C1D"/>
    <w:rsid w:val="00EE266E"/>
    <w:rsid w:val="00EE2FBB"/>
    <w:rsid w:val="00EE70EE"/>
    <w:rsid w:val="00F10ED3"/>
    <w:rsid w:val="00F11B6C"/>
    <w:rsid w:val="00F15E18"/>
    <w:rsid w:val="00F22F39"/>
    <w:rsid w:val="00F363E3"/>
    <w:rsid w:val="00F37BF8"/>
    <w:rsid w:val="00F42EBD"/>
    <w:rsid w:val="00F50A50"/>
    <w:rsid w:val="00F525A4"/>
    <w:rsid w:val="00F6162F"/>
    <w:rsid w:val="00F65AB4"/>
    <w:rsid w:val="00F80A2A"/>
    <w:rsid w:val="00F90DCE"/>
    <w:rsid w:val="00FB34C0"/>
    <w:rsid w:val="00FB6D6C"/>
    <w:rsid w:val="00FC2E7B"/>
    <w:rsid w:val="00FC3308"/>
    <w:rsid w:val="00FC4D6B"/>
    <w:rsid w:val="00FC71F5"/>
    <w:rsid w:val="00FD150A"/>
    <w:rsid w:val="00FE0FA3"/>
    <w:rsid w:val="00FE594F"/>
    <w:rsid w:val="00FF2189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80B3-23DA-4B61-8631-CFC1EE8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2017-07-19T19:47:00Z</dcterms:created>
  <dcterms:modified xsi:type="dcterms:W3CDTF">2017-07-19T19:47:00Z</dcterms:modified>
</cp:coreProperties>
</file>