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4D4382" w:rsidP="00824730">
      <w:pPr>
        <w:spacing w:line="240" w:lineRule="auto"/>
        <w:jc w:val="center"/>
        <w:rPr>
          <w:b/>
        </w:rPr>
      </w:pPr>
      <w:r>
        <w:rPr>
          <w:b/>
        </w:rPr>
        <w:t>Fotografias forenses</w:t>
      </w:r>
      <w:r w:rsidR="003A22F0">
        <w:rPr>
          <w:b/>
        </w:rPr>
        <w:t xml:space="preserve">: </w:t>
      </w:r>
      <w:r>
        <w:rPr>
          <w:b/>
        </w:rPr>
        <w:t>necessidade jurídica ou simples luxo?</w:t>
      </w:r>
    </w:p>
    <w:p w:rsidR="00595933" w:rsidRPr="00813F18" w:rsidRDefault="00595933" w:rsidP="00824730">
      <w:pPr>
        <w:spacing w:line="240" w:lineRule="auto"/>
        <w:jc w:val="left"/>
      </w:pPr>
    </w:p>
    <w:p w:rsidR="007D1712" w:rsidRDefault="0036010E" w:rsidP="00051A3B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 </w:t>
      </w:r>
      <w:r w:rsidR="00182F85">
        <w:rPr>
          <w:sz w:val="22"/>
          <w:szCs w:val="22"/>
        </w:rPr>
        <w:t>CPP (Código de Processo Penal) faz referência à fotografia forense nos artigos 164, 165, 169 e 170</w:t>
      </w:r>
      <w:r w:rsidR="007D1712">
        <w:rPr>
          <w:sz w:val="22"/>
          <w:szCs w:val="22"/>
        </w:rPr>
        <w:t>.</w:t>
      </w:r>
      <w:r w:rsidR="00182F85">
        <w:rPr>
          <w:sz w:val="22"/>
          <w:szCs w:val="22"/>
        </w:rPr>
        <w:t xml:space="preserve"> Datado de 1941, suas alterações não vislumbraram a</w:t>
      </w:r>
      <w:r w:rsidR="00C652A5">
        <w:rPr>
          <w:sz w:val="22"/>
          <w:szCs w:val="22"/>
        </w:rPr>
        <w:t xml:space="preserve"> prodigiosa</w:t>
      </w:r>
      <w:r w:rsidR="00182F85">
        <w:rPr>
          <w:sz w:val="22"/>
          <w:szCs w:val="22"/>
        </w:rPr>
        <w:t xml:space="preserve"> evolução tecnológica </w:t>
      </w:r>
      <w:r w:rsidR="00C652A5">
        <w:rPr>
          <w:sz w:val="22"/>
          <w:szCs w:val="22"/>
        </w:rPr>
        <w:t>que afetou o modo como se fazem registros fotográficos e cinematográficos</w:t>
      </w:r>
      <w:r w:rsidR="00182F85">
        <w:rPr>
          <w:sz w:val="22"/>
          <w:szCs w:val="22"/>
        </w:rPr>
        <w:t xml:space="preserve"> nos últimos 15 anos.</w:t>
      </w:r>
      <w:r w:rsidR="00C652A5">
        <w:rPr>
          <w:sz w:val="22"/>
          <w:szCs w:val="22"/>
        </w:rPr>
        <w:t xml:space="preserve"> Como resultado, o texto ora vigente ainda se refere apenas a fotografias (sem menção a filmagens) e, ainda assim, com expressões restritivas que fazem referência à possibilidade e à conveniência de tais registros – herança de tempos em que a fotografia era um registro difícil e caro.</w:t>
      </w:r>
    </w:p>
    <w:p w:rsidR="007D1712" w:rsidRDefault="00C652A5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vergonhosa desatualização da legislação brasileira é exposta no livro “A Macrocriminalidade”, de</w:t>
      </w:r>
      <w:r w:rsidR="009A17F7">
        <w:rPr>
          <w:sz w:val="22"/>
          <w:szCs w:val="22"/>
        </w:rPr>
        <w:t xml:space="preserve"> Juary C. Silva, publicado em</w:t>
      </w:r>
      <w:r>
        <w:rPr>
          <w:sz w:val="22"/>
          <w:szCs w:val="22"/>
        </w:rPr>
        <w:t xml:space="preserve"> 1980. Embora anterior à atual Constituição, contém críticas importantes</w:t>
      </w:r>
      <w:r w:rsidR="009A17F7">
        <w:rPr>
          <w:sz w:val="22"/>
          <w:szCs w:val="22"/>
        </w:rPr>
        <w:t xml:space="preserve"> à legislação criminal que ainda são totalmente atuais</w:t>
      </w:r>
      <w:r w:rsidR="00EA7F4A">
        <w:rPr>
          <w:sz w:val="22"/>
          <w:szCs w:val="22"/>
        </w:rPr>
        <w:t>: decorridos 37 anos,</w:t>
      </w:r>
      <w:r w:rsidR="009A17F7">
        <w:rPr>
          <w:sz w:val="22"/>
          <w:szCs w:val="22"/>
        </w:rPr>
        <w:t xml:space="preserve"> </w:t>
      </w:r>
      <w:r w:rsidR="00EA7F4A">
        <w:rPr>
          <w:sz w:val="22"/>
          <w:szCs w:val="22"/>
        </w:rPr>
        <w:t>seus aspectos mais criticados ainda</w:t>
      </w:r>
      <w:r w:rsidR="009A17F7">
        <w:rPr>
          <w:sz w:val="22"/>
          <w:szCs w:val="22"/>
        </w:rPr>
        <w:t xml:space="preserve"> não fo</w:t>
      </w:r>
      <w:r w:rsidR="00EA7F4A">
        <w:rPr>
          <w:sz w:val="22"/>
          <w:szCs w:val="22"/>
        </w:rPr>
        <w:t>ram objeto da necessária</w:t>
      </w:r>
      <w:r w:rsidR="009A17F7">
        <w:rPr>
          <w:sz w:val="22"/>
          <w:szCs w:val="22"/>
        </w:rPr>
        <w:t xml:space="preserve"> atualiza</w:t>
      </w:r>
      <w:r w:rsidR="00EA7F4A">
        <w:rPr>
          <w:sz w:val="22"/>
          <w:szCs w:val="22"/>
        </w:rPr>
        <w:t>ção</w:t>
      </w:r>
      <w:r w:rsidR="007D1712">
        <w:rPr>
          <w:sz w:val="22"/>
          <w:szCs w:val="22"/>
        </w:rPr>
        <w:t>.</w:t>
      </w:r>
    </w:p>
    <w:p w:rsidR="000974D6" w:rsidRDefault="009A17F7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Com a tecnologia digital, os custos de produção de fotografias, seu armazenamento e o treinamento de fotógrafos foi muito reduzido, ao mesmo tempo que se simplificaram todos os procedimentos pertinentes</w:t>
      </w:r>
      <w:r w:rsidR="000974D6">
        <w:rPr>
          <w:sz w:val="22"/>
          <w:szCs w:val="22"/>
        </w:rPr>
        <w:t>.</w:t>
      </w:r>
      <w:r>
        <w:rPr>
          <w:sz w:val="22"/>
          <w:szCs w:val="22"/>
        </w:rPr>
        <w:t xml:space="preserve"> Assim, é fácil perceber que as despesas pertinentes necessárias ao registro de exames periciais são desprezíveis em relação aos demais gastos </w:t>
      </w:r>
      <w:r w:rsidR="00EA7F4A">
        <w:rPr>
          <w:sz w:val="22"/>
          <w:szCs w:val="22"/>
        </w:rPr>
        <w:t>inerentes às atividades da</w:t>
      </w:r>
      <w:r>
        <w:rPr>
          <w:sz w:val="22"/>
          <w:szCs w:val="22"/>
        </w:rPr>
        <w:t xml:space="preserve"> área da Segurança Pública – como viaturas e combustível, armas e munições, pessoal</w:t>
      </w:r>
      <w:r w:rsidR="00114C9B">
        <w:rPr>
          <w:sz w:val="22"/>
          <w:szCs w:val="22"/>
        </w:rPr>
        <w:t xml:space="preserve"> etc..</w:t>
      </w:r>
    </w:p>
    <w:p w:rsidR="009A17F7" w:rsidRDefault="00114C9B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 face das circunstâncias hoje existentes, o princípio constitucional da razoabilidade impõe um novo entendimento sobre a obrigatoriedade de registro físico dos exames periciais e das circunstâncias existentes </w:t>
      </w:r>
      <w:r w:rsidR="00FE3F35">
        <w:rPr>
          <w:sz w:val="22"/>
          <w:szCs w:val="22"/>
        </w:rPr>
        <w:t>por ocasiã</w:t>
      </w:r>
      <w:r>
        <w:rPr>
          <w:sz w:val="22"/>
          <w:szCs w:val="22"/>
        </w:rPr>
        <w:t>o da sua realização</w:t>
      </w:r>
      <w:r w:rsidR="00FE3F35">
        <w:rPr>
          <w:sz w:val="22"/>
          <w:szCs w:val="22"/>
        </w:rPr>
        <w:t xml:space="preserve"> – que deve incluir não apenas os registros cine-fotográficos, mas também o</w:t>
      </w:r>
      <w:r w:rsidR="00EA7F4A">
        <w:rPr>
          <w:sz w:val="22"/>
          <w:szCs w:val="22"/>
        </w:rPr>
        <w:t>s</w:t>
      </w:r>
      <w:r w:rsidR="00FE3F35">
        <w:rPr>
          <w:sz w:val="22"/>
          <w:szCs w:val="22"/>
        </w:rPr>
        <w:t xml:space="preserve"> de sons e outros possivelmente úteis</w:t>
      </w:r>
      <w:r>
        <w:rPr>
          <w:sz w:val="22"/>
          <w:szCs w:val="22"/>
        </w:rPr>
        <w:t>.</w:t>
      </w:r>
    </w:p>
    <w:p w:rsidR="00114C9B" w:rsidRDefault="00FE3F35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Os que se opõem à obrigatoriedade de fotografar exames</w:t>
      </w:r>
      <w:r w:rsidR="009712BB">
        <w:rPr>
          <w:sz w:val="22"/>
          <w:szCs w:val="22"/>
        </w:rPr>
        <w:t xml:space="preserve"> e incluir fotografias em laudos periciais</w:t>
      </w:r>
      <w:r>
        <w:rPr>
          <w:sz w:val="22"/>
          <w:szCs w:val="22"/>
        </w:rPr>
        <w:t xml:space="preserve"> alegam a fé-pública do perito e, entre os que têm</w:t>
      </w:r>
      <w:r w:rsidR="00EA7F4A">
        <w:rPr>
          <w:sz w:val="22"/>
          <w:szCs w:val="22"/>
        </w:rPr>
        <w:t xml:space="preserve"> algum</w:t>
      </w:r>
      <w:r>
        <w:rPr>
          <w:sz w:val="22"/>
          <w:szCs w:val="22"/>
        </w:rPr>
        <w:t xml:space="preserve"> c</w:t>
      </w:r>
      <w:r w:rsidR="00EA7F4A">
        <w:rPr>
          <w:sz w:val="22"/>
          <w:szCs w:val="22"/>
        </w:rPr>
        <w:t>onhecimento</w:t>
      </w:r>
      <w:r>
        <w:rPr>
          <w:sz w:val="22"/>
          <w:szCs w:val="22"/>
        </w:rPr>
        <w:t xml:space="preserve"> jur</w:t>
      </w:r>
      <w:r w:rsidR="00EA7F4A">
        <w:rPr>
          <w:sz w:val="22"/>
          <w:szCs w:val="22"/>
        </w:rPr>
        <w:t>ídico</w:t>
      </w:r>
      <w:r>
        <w:rPr>
          <w:sz w:val="22"/>
          <w:szCs w:val="22"/>
        </w:rPr>
        <w:t>, também o princípio da presunção de legalidade / legitimidade dos atos da Administração Pública. Esses argumentos são</w:t>
      </w:r>
      <w:r w:rsidR="009712BB">
        <w:rPr>
          <w:sz w:val="22"/>
          <w:szCs w:val="22"/>
        </w:rPr>
        <w:t xml:space="preserve"> extremamente</w:t>
      </w:r>
      <w:r>
        <w:rPr>
          <w:sz w:val="22"/>
          <w:szCs w:val="22"/>
        </w:rPr>
        <w:t xml:space="preserve"> frágeis </w:t>
      </w:r>
      <w:r w:rsidR="009712BB">
        <w:rPr>
          <w:sz w:val="22"/>
          <w:szCs w:val="22"/>
        </w:rPr>
        <w:t>di</w:t>
      </w:r>
      <w:r>
        <w:rPr>
          <w:sz w:val="22"/>
          <w:szCs w:val="22"/>
        </w:rPr>
        <w:t>ante</w:t>
      </w:r>
      <w:r w:rsidR="009712BB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</w:t>
      </w:r>
      <w:r w:rsidR="009712BB">
        <w:rPr>
          <w:sz w:val="22"/>
          <w:szCs w:val="22"/>
        </w:rPr>
        <w:t>princípio</w:t>
      </w:r>
      <w:r w:rsidR="007A0C54">
        <w:rPr>
          <w:sz w:val="22"/>
          <w:szCs w:val="22"/>
        </w:rPr>
        <w:t xml:space="preserve"> jurídico</w:t>
      </w:r>
      <w:r w:rsidR="00971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presunção de inocência e </w:t>
      </w:r>
      <w:r w:rsidR="003D51AC">
        <w:rPr>
          <w:sz w:val="22"/>
          <w:szCs w:val="22"/>
        </w:rPr>
        <w:t>d</w:t>
      </w:r>
      <w:r>
        <w:rPr>
          <w:sz w:val="22"/>
          <w:szCs w:val="22"/>
        </w:rPr>
        <w:t>o</w:t>
      </w:r>
      <w:r w:rsidR="009712BB">
        <w:rPr>
          <w:sz w:val="22"/>
          <w:szCs w:val="22"/>
        </w:rPr>
        <w:t xml:space="preserve"> princípio</w:t>
      </w:r>
      <w:r w:rsidR="007A0C54">
        <w:rPr>
          <w:sz w:val="22"/>
          <w:szCs w:val="22"/>
        </w:rPr>
        <w:t xml:space="preserve"> pericial</w:t>
      </w:r>
      <w:r>
        <w:rPr>
          <w:sz w:val="22"/>
          <w:szCs w:val="22"/>
        </w:rPr>
        <w:t xml:space="preserve"> da documentação</w:t>
      </w:r>
      <w:r w:rsidR="009712BB">
        <w:rPr>
          <w:sz w:val="22"/>
          <w:szCs w:val="22"/>
        </w:rPr>
        <w:t>, por exemplo</w:t>
      </w:r>
      <w:r>
        <w:rPr>
          <w:sz w:val="22"/>
          <w:szCs w:val="22"/>
        </w:rPr>
        <w:t>.</w:t>
      </w:r>
    </w:p>
    <w:p w:rsidR="00FE3F35" w:rsidRDefault="007A0C54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Bem m</w:t>
      </w:r>
      <w:r w:rsidR="009712BB">
        <w:rPr>
          <w:sz w:val="22"/>
          <w:szCs w:val="22"/>
        </w:rPr>
        <w:t xml:space="preserve">ais do que </w:t>
      </w:r>
      <w:r>
        <w:rPr>
          <w:sz w:val="22"/>
          <w:szCs w:val="22"/>
        </w:rPr>
        <w:t>a simples</w:t>
      </w:r>
      <w:r w:rsidR="009712BB">
        <w:rPr>
          <w:sz w:val="22"/>
          <w:szCs w:val="22"/>
        </w:rPr>
        <w:t xml:space="preserve"> inser</w:t>
      </w:r>
      <w:r>
        <w:rPr>
          <w:sz w:val="22"/>
          <w:szCs w:val="22"/>
        </w:rPr>
        <w:t>ção de</w:t>
      </w:r>
      <w:r w:rsidR="00971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algumas </w:t>
      </w:r>
      <w:r w:rsidR="009712BB">
        <w:rPr>
          <w:sz w:val="22"/>
          <w:szCs w:val="22"/>
        </w:rPr>
        <w:t xml:space="preserve">fotografias </w:t>
      </w:r>
      <w:r>
        <w:rPr>
          <w:sz w:val="22"/>
          <w:szCs w:val="22"/>
        </w:rPr>
        <w:t>em</w:t>
      </w:r>
      <w:r w:rsidR="009712BB">
        <w:rPr>
          <w:sz w:val="22"/>
          <w:szCs w:val="22"/>
        </w:rPr>
        <w:t xml:space="preserve"> um laudo </w:t>
      </w:r>
      <w:r>
        <w:rPr>
          <w:sz w:val="22"/>
          <w:szCs w:val="22"/>
        </w:rPr>
        <w:t>pericial</w:t>
      </w:r>
      <w:r w:rsidR="009712BB">
        <w:rPr>
          <w:sz w:val="22"/>
          <w:szCs w:val="22"/>
        </w:rPr>
        <w:t>, é importante que</w:t>
      </w:r>
      <w:r>
        <w:rPr>
          <w:sz w:val="22"/>
          <w:szCs w:val="22"/>
        </w:rPr>
        <w:t xml:space="preserve"> todos</w:t>
      </w:r>
      <w:r w:rsidR="009712BB">
        <w:rPr>
          <w:sz w:val="22"/>
          <w:szCs w:val="22"/>
        </w:rPr>
        <w:t xml:space="preserve"> os arquivos fotográficos digitais originais</w:t>
      </w:r>
      <w:r>
        <w:rPr>
          <w:sz w:val="22"/>
          <w:szCs w:val="22"/>
        </w:rPr>
        <w:t xml:space="preserve"> produzidos (usados ou não para ilustrar o laudo pericial oficial)</w:t>
      </w:r>
      <w:r w:rsidR="009712BB">
        <w:rPr>
          <w:sz w:val="22"/>
          <w:szCs w:val="22"/>
        </w:rPr>
        <w:t xml:space="preserve"> sejam armazenados pelo órgão oficial de perícias</w:t>
      </w:r>
      <w:r w:rsidR="00824319">
        <w:rPr>
          <w:sz w:val="22"/>
          <w:szCs w:val="22"/>
        </w:rPr>
        <w:t xml:space="preserve"> e disponibilizados para eventual uso</w:t>
      </w:r>
      <w:r w:rsidR="009712BB">
        <w:rPr>
          <w:sz w:val="22"/>
          <w:szCs w:val="22"/>
        </w:rPr>
        <w:t xml:space="preserve"> pela defesa do réu. </w:t>
      </w:r>
      <w:r>
        <w:rPr>
          <w:sz w:val="22"/>
          <w:szCs w:val="22"/>
        </w:rPr>
        <w:t>As i</w:t>
      </w:r>
      <w:r w:rsidR="009712BB">
        <w:rPr>
          <w:sz w:val="22"/>
          <w:szCs w:val="22"/>
        </w:rPr>
        <w:t xml:space="preserve">magens inseridas em arquivos de texto sofrem grande perda de qualidade, </w:t>
      </w:r>
      <w:r>
        <w:rPr>
          <w:sz w:val="22"/>
          <w:szCs w:val="22"/>
        </w:rPr>
        <w:t xml:space="preserve">de modo que </w:t>
      </w:r>
      <w:r w:rsidR="009712BB">
        <w:rPr>
          <w:sz w:val="22"/>
          <w:szCs w:val="22"/>
        </w:rPr>
        <w:t>os arquivos digitais originais dessas imagens contêm muito mais deta</w:t>
      </w:r>
      <w:r w:rsidR="00824319">
        <w:rPr>
          <w:sz w:val="22"/>
          <w:szCs w:val="22"/>
        </w:rPr>
        <w:t>lhes sobre os objetos de exame</w:t>
      </w:r>
      <w:r>
        <w:rPr>
          <w:sz w:val="22"/>
          <w:szCs w:val="22"/>
        </w:rPr>
        <w:t>. Assim, as fotografias originais da Perícia são o que mais pode se aproximar do olhar do perito no momento do exame; portanto, para viabilizar a ampla defesa e o contraditório previstos na Constituição, esse “olhar” póstumo deve ser facultado à defesa.</w:t>
      </w:r>
      <w:r w:rsidR="00971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acesso ao laudo pericial é insuficiente, </w:t>
      </w:r>
      <w:r w:rsidR="009712BB">
        <w:rPr>
          <w:sz w:val="22"/>
          <w:szCs w:val="22"/>
        </w:rPr>
        <w:t>pois nem tudo o que é visto pelo perito é representado no laudo como texto.</w:t>
      </w:r>
    </w:p>
    <w:p w:rsidR="002A1B60" w:rsidRDefault="002A1B60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Algumas questões paralelas à realização de fotografias forenses e à sua disponibilização costumam surgir. Uma delas é que, não sendo fornecidos os meios para a sua realização pelo Estado, os registros produzidos por peritos com material próprio não seriam passíveis de ser exigidos. Outra é que, em virtude da grande quantidade de crimes cometidos, o Estado não teria meios para armazenar todas as fotografias produzidas pela Perícia Oficial. Contudo, ambas essas teses contêm distorções.</w:t>
      </w:r>
    </w:p>
    <w:p w:rsidR="002A1B60" w:rsidRDefault="002A1B60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Sobre o uso de equipamentos privados, como meio de colaboração com a Justiça, o perito tem o dever de fornecer os registros de que dispuser, independentemente da fonte de recursos usada para patrocinar a sua realização, mas é o Estado quem tem o dever de fornecer aos peritos todos os meios necessários para o registro de seu trabalho.</w:t>
      </w:r>
    </w:p>
    <w:p w:rsidR="002A1B60" w:rsidRDefault="002A1B60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Sobre a incapacidade do Estado de armazenar o grande volume de informações</w:t>
      </w:r>
      <w:r w:rsidR="00D62D7E">
        <w:rPr>
          <w:sz w:val="22"/>
          <w:szCs w:val="22"/>
        </w:rPr>
        <w:t xml:space="preserve"> sobre perícias</w:t>
      </w:r>
      <w:r>
        <w:rPr>
          <w:sz w:val="22"/>
          <w:szCs w:val="22"/>
        </w:rPr>
        <w:t xml:space="preserve"> </w:t>
      </w:r>
      <w:r w:rsidR="00D62D7E">
        <w:rPr>
          <w:sz w:val="22"/>
          <w:szCs w:val="22"/>
        </w:rPr>
        <w:t>criminais,</w:t>
      </w:r>
      <w:r>
        <w:rPr>
          <w:sz w:val="22"/>
          <w:szCs w:val="22"/>
        </w:rPr>
        <w:t xml:space="preserve"> </w:t>
      </w:r>
      <w:r w:rsidR="00D62D7E">
        <w:rPr>
          <w:sz w:val="22"/>
          <w:szCs w:val="22"/>
        </w:rPr>
        <w:t>o verdadeiro problema é a o</w:t>
      </w:r>
      <w:r w:rsidRPr="002A1B60">
        <w:rPr>
          <w:sz w:val="22"/>
          <w:szCs w:val="22"/>
        </w:rPr>
        <w:t>corrência de muitos crimes</w:t>
      </w:r>
      <w:r w:rsidR="00D62D7E">
        <w:rPr>
          <w:sz w:val="22"/>
          <w:szCs w:val="22"/>
        </w:rPr>
        <w:t>, evidenciando a ineficácia do Estado em combate-los</w:t>
      </w:r>
      <w:r w:rsidRPr="002A1B60">
        <w:rPr>
          <w:sz w:val="22"/>
          <w:szCs w:val="22"/>
        </w:rPr>
        <w:t>.</w:t>
      </w:r>
    </w:p>
    <w:p w:rsidR="006E06B4" w:rsidRDefault="00D62D7E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Finalmente, c</w:t>
      </w:r>
      <w:r w:rsidR="006E06B4">
        <w:rPr>
          <w:sz w:val="22"/>
          <w:szCs w:val="22"/>
        </w:rPr>
        <w:t>abe destacar que fotografias e filmagens de exames periciais servem a dupla finalidade: tanto</w:t>
      </w:r>
      <w:r w:rsidR="00F00275">
        <w:rPr>
          <w:sz w:val="22"/>
          <w:szCs w:val="22"/>
        </w:rPr>
        <w:t xml:space="preserve"> protegem os bons peritos de acusações indevidas como</w:t>
      </w:r>
      <w:r w:rsidR="006E06B4">
        <w:rPr>
          <w:sz w:val="22"/>
          <w:szCs w:val="22"/>
        </w:rPr>
        <w:t xml:space="preserve"> protegem </w:t>
      </w:r>
      <w:r w:rsidR="00F00275">
        <w:rPr>
          <w:sz w:val="22"/>
          <w:szCs w:val="22"/>
        </w:rPr>
        <w:t>a sociedade de maus peritos. A Perícia Oficial, como instituição, deve empenhar seus recursos para a proteção integral da verdade.</w:t>
      </w:r>
    </w:p>
    <w:p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1. </w:t>
      </w:r>
      <w:r w:rsidR="009E073B">
        <w:rPr>
          <w:bCs/>
          <w:sz w:val="20"/>
          <w:szCs w:val="22"/>
        </w:rPr>
        <w:t>NEGRINI NETO</w:t>
      </w:r>
      <w:r w:rsidRPr="0065142A">
        <w:rPr>
          <w:bCs/>
          <w:sz w:val="20"/>
          <w:szCs w:val="22"/>
        </w:rPr>
        <w:t xml:space="preserve">, </w:t>
      </w:r>
      <w:r w:rsidR="009E073B">
        <w:rPr>
          <w:bCs/>
          <w:sz w:val="20"/>
          <w:szCs w:val="22"/>
        </w:rPr>
        <w:t>Osvaldo; KLEINÜBING, Rodrigo</w:t>
      </w:r>
      <w:r w:rsidRPr="0065142A">
        <w:rPr>
          <w:bCs/>
          <w:sz w:val="20"/>
          <w:szCs w:val="22"/>
        </w:rPr>
        <w:t>.</w:t>
      </w:r>
      <w:r w:rsidRPr="0065142A">
        <w:rPr>
          <w:b/>
          <w:bCs/>
          <w:sz w:val="20"/>
          <w:szCs w:val="22"/>
        </w:rPr>
        <w:t xml:space="preserve"> </w:t>
      </w:r>
      <w:r w:rsidR="009E073B">
        <w:rPr>
          <w:i/>
          <w:sz w:val="20"/>
          <w:szCs w:val="22"/>
        </w:rPr>
        <w:t>Dinâmica dos acidentes de trânsito: análises, reconstrução e prevenção</w:t>
      </w:r>
      <w:r w:rsidRPr="0065142A">
        <w:rPr>
          <w:sz w:val="20"/>
          <w:szCs w:val="22"/>
        </w:rPr>
        <w:t xml:space="preserve">. </w:t>
      </w:r>
      <w:r w:rsidR="009E073B">
        <w:rPr>
          <w:sz w:val="20"/>
          <w:szCs w:val="22"/>
        </w:rPr>
        <w:t>Tratado de Perícias Criminalísticas. Domingos Tocchetto (org.). 4.</w:t>
      </w:r>
      <w:r w:rsidRPr="0065142A">
        <w:rPr>
          <w:sz w:val="20"/>
          <w:szCs w:val="22"/>
        </w:rPr>
        <w:t xml:space="preserve"> ed. </w:t>
      </w:r>
      <w:r w:rsidR="009E073B">
        <w:rPr>
          <w:sz w:val="20"/>
          <w:szCs w:val="22"/>
        </w:rPr>
        <w:t>Campinas</w:t>
      </w:r>
      <w:r w:rsidRPr="0065142A">
        <w:rPr>
          <w:sz w:val="20"/>
          <w:szCs w:val="22"/>
        </w:rPr>
        <w:t xml:space="preserve">: </w:t>
      </w:r>
      <w:r w:rsidR="009E073B">
        <w:rPr>
          <w:sz w:val="20"/>
          <w:szCs w:val="22"/>
        </w:rPr>
        <w:t>Millennium</w:t>
      </w:r>
      <w:r w:rsidRPr="0065142A">
        <w:rPr>
          <w:sz w:val="20"/>
          <w:szCs w:val="22"/>
        </w:rPr>
        <w:t xml:space="preserve">, </w:t>
      </w:r>
      <w:r w:rsidR="009E073B">
        <w:rPr>
          <w:sz w:val="20"/>
          <w:szCs w:val="22"/>
        </w:rPr>
        <w:t>2012, 443 p</w:t>
      </w:r>
      <w:r w:rsidRPr="0065142A">
        <w:rPr>
          <w:sz w:val="20"/>
          <w:szCs w:val="22"/>
        </w:rPr>
        <w:t>.</w:t>
      </w:r>
    </w:p>
    <w:p w:rsidR="0065142A" w:rsidRPr="0065142A" w:rsidRDefault="0065142A" w:rsidP="0065142A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2. </w:t>
      </w:r>
      <w:r w:rsidR="00892CF9">
        <w:rPr>
          <w:sz w:val="20"/>
          <w:szCs w:val="22"/>
        </w:rPr>
        <w:t>ALMEIDA</w:t>
      </w:r>
      <w:r w:rsidRPr="0065142A">
        <w:rPr>
          <w:sz w:val="20"/>
          <w:szCs w:val="22"/>
        </w:rPr>
        <w:t xml:space="preserve">, </w:t>
      </w:r>
      <w:r w:rsidR="00892CF9">
        <w:rPr>
          <w:sz w:val="20"/>
          <w:szCs w:val="22"/>
        </w:rPr>
        <w:t>Lino Leite</w:t>
      </w:r>
      <w:r w:rsidRPr="0065142A">
        <w:rPr>
          <w:sz w:val="20"/>
          <w:szCs w:val="22"/>
        </w:rPr>
        <w:t xml:space="preserve"> de. </w:t>
      </w:r>
      <w:r w:rsidR="00892CF9">
        <w:rPr>
          <w:i/>
          <w:sz w:val="20"/>
          <w:szCs w:val="22"/>
        </w:rPr>
        <w:t>Manual de perícias em acidentes de trânsito</w:t>
      </w:r>
      <w:r w:rsidRPr="0065142A">
        <w:rPr>
          <w:sz w:val="20"/>
          <w:szCs w:val="22"/>
        </w:rPr>
        <w:t xml:space="preserve">. </w:t>
      </w:r>
      <w:r w:rsidR="00892CF9">
        <w:rPr>
          <w:sz w:val="20"/>
          <w:szCs w:val="22"/>
        </w:rPr>
        <w:t>Biblioteca Espindula. Alberi Espindula (org.). Campinas</w:t>
      </w:r>
      <w:r w:rsidR="00892CF9" w:rsidRPr="0065142A">
        <w:rPr>
          <w:sz w:val="20"/>
          <w:szCs w:val="22"/>
        </w:rPr>
        <w:t xml:space="preserve">: </w:t>
      </w:r>
      <w:r w:rsidR="00892CF9">
        <w:rPr>
          <w:sz w:val="20"/>
          <w:szCs w:val="22"/>
        </w:rPr>
        <w:t>Millennium</w:t>
      </w:r>
      <w:r w:rsidR="00892CF9" w:rsidRPr="0065142A">
        <w:rPr>
          <w:sz w:val="20"/>
          <w:szCs w:val="22"/>
        </w:rPr>
        <w:t xml:space="preserve">, </w:t>
      </w:r>
      <w:r w:rsidR="00892CF9">
        <w:rPr>
          <w:sz w:val="20"/>
          <w:szCs w:val="22"/>
        </w:rPr>
        <w:t>2011, 428 p</w:t>
      </w:r>
      <w:r w:rsidR="00892CF9" w:rsidRPr="0065142A">
        <w:rPr>
          <w:sz w:val="20"/>
          <w:szCs w:val="22"/>
        </w:rPr>
        <w:t>.</w:t>
      </w:r>
    </w:p>
    <w:p w:rsidR="001D2633" w:rsidRPr="00BD2918" w:rsidRDefault="00892CF9" w:rsidP="00BD291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lastRenderedPageBreak/>
        <w:t>3</w:t>
      </w:r>
      <w:r w:rsidRPr="0065142A">
        <w:rPr>
          <w:sz w:val="20"/>
          <w:szCs w:val="22"/>
        </w:rPr>
        <w:t xml:space="preserve">. </w:t>
      </w:r>
      <w:r w:rsidR="000B5C96">
        <w:rPr>
          <w:sz w:val="20"/>
          <w:szCs w:val="22"/>
        </w:rPr>
        <w:t>SILVA</w:t>
      </w:r>
      <w:r w:rsidRPr="0065142A">
        <w:rPr>
          <w:sz w:val="20"/>
          <w:szCs w:val="22"/>
        </w:rPr>
        <w:t xml:space="preserve">, </w:t>
      </w:r>
      <w:r w:rsidR="000B5C96">
        <w:rPr>
          <w:sz w:val="20"/>
          <w:szCs w:val="22"/>
        </w:rPr>
        <w:t>Juary C</w:t>
      </w:r>
      <w:r w:rsidRPr="0065142A">
        <w:rPr>
          <w:sz w:val="20"/>
          <w:szCs w:val="22"/>
        </w:rPr>
        <w:t xml:space="preserve">. </w:t>
      </w:r>
      <w:r>
        <w:rPr>
          <w:i/>
          <w:sz w:val="20"/>
          <w:szCs w:val="22"/>
        </w:rPr>
        <w:t>A</w:t>
      </w:r>
      <w:r w:rsidR="000B5C96">
        <w:rPr>
          <w:i/>
          <w:sz w:val="20"/>
          <w:szCs w:val="22"/>
        </w:rPr>
        <w:t xml:space="preserve"> macrocriminalidade</w:t>
      </w:r>
      <w:r w:rsidRPr="0065142A">
        <w:rPr>
          <w:sz w:val="20"/>
          <w:szCs w:val="22"/>
        </w:rPr>
        <w:t xml:space="preserve">. </w:t>
      </w:r>
      <w:r w:rsidR="000B5C96">
        <w:rPr>
          <w:sz w:val="20"/>
          <w:szCs w:val="22"/>
        </w:rPr>
        <w:t>São Paulo</w:t>
      </w:r>
      <w:r w:rsidRPr="0065142A">
        <w:rPr>
          <w:sz w:val="20"/>
          <w:szCs w:val="22"/>
        </w:rPr>
        <w:t xml:space="preserve">: </w:t>
      </w:r>
      <w:r w:rsidR="000B5C96">
        <w:rPr>
          <w:sz w:val="20"/>
          <w:szCs w:val="22"/>
        </w:rPr>
        <w:t>Revista dos Tribunais</w:t>
      </w:r>
      <w:r w:rsidRPr="0065142A">
        <w:rPr>
          <w:sz w:val="20"/>
          <w:szCs w:val="22"/>
        </w:rPr>
        <w:t xml:space="preserve">, </w:t>
      </w:r>
      <w:r w:rsidR="000B5C96">
        <w:rPr>
          <w:sz w:val="20"/>
          <w:szCs w:val="22"/>
        </w:rPr>
        <w:t>1980</w:t>
      </w:r>
      <w:r>
        <w:rPr>
          <w:sz w:val="20"/>
          <w:szCs w:val="22"/>
        </w:rPr>
        <w:t xml:space="preserve">, </w:t>
      </w:r>
      <w:r w:rsidR="000B5C96">
        <w:rPr>
          <w:sz w:val="20"/>
          <w:szCs w:val="22"/>
        </w:rPr>
        <w:t>273</w:t>
      </w:r>
      <w:r>
        <w:rPr>
          <w:sz w:val="20"/>
          <w:szCs w:val="22"/>
        </w:rPr>
        <w:t xml:space="preserve"> p</w:t>
      </w:r>
      <w:r w:rsidRPr="0065142A">
        <w:rPr>
          <w:sz w:val="20"/>
          <w:szCs w:val="22"/>
        </w:rPr>
        <w:t>.</w:t>
      </w:r>
    </w:p>
    <w:sectPr w:rsidR="001D2633" w:rsidRPr="00BD2918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BD" w:rsidRDefault="00F42EBD" w:rsidP="003752F7">
      <w:pPr>
        <w:spacing w:line="240" w:lineRule="auto"/>
      </w:pPr>
      <w:r>
        <w:separator/>
      </w:r>
    </w:p>
  </w:endnote>
  <w:endnote w:type="continuationSeparator" w:id="0">
    <w:p w:rsidR="00F42EBD" w:rsidRDefault="00F42EB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AF4B73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BD" w:rsidRDefault="00F42EBD" w:rsidP="003752F7">
      <w:pPr>
        <w:spacing w:line="240" w:lineRule="auto"/>
      </w:pPr>
      <w:r>
        <w:separator/>
      </w:r>
    </w:p>
  </w:footnote>
  <w:footnote w:type="continuationSeparator" w:id="0">
    <w:p w:rsidR="00F42EBD" w:rsidRDefault="00F42EB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974D6"/>
    <w:rsid w:val="000B38F5"/>
    <w:rsid w:val="000B5C96"/>
    <w:rsid w:val="000C67DF"/>
    <w:rsid w:val="000C6C07"/>
    <w:rsid w:val="000D64F7"/>
    <w:rsid w:val="000E490F"/>
    <w:rsid w:val="000E62DA"/>
    <w:rsid w:val="001052AA"/>
    <w:rsid w:val="00114C9B"/>
    <w:rsid w:val="00115C7E"/>
    <w:rsid w:val="0012394C"/>
    <w:rsid w:val="00123D94"/>
    <w:rsid w:val="001451DD"/>
    <w:rsid w:val="0015364A"/>
    <w:rsid w:val="00167EE0"/>
    <w:rsid w:val="0018033F"/>
    <w:rsid w:val="00182F85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B60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6010E"/>
    <w:rsid w:val="00372A5D"/>
    <w:rsid w:val="003752F7"/>
    <w:rsid w:val="0037720B"/>
    <w:rsid w:val="00382120"/>
    <w:rsid w:val="003928AB"/>
    <w:rsid w:val="003A22F0"/>
    <w:rsid w:val="003D455E"/>
    <w:rsid w:val="003D51AC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4382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06B4"/>
    <w:rsid w:val="006E3323"/>
    <w:rsid w:val="006E33F4"/>
    <w:rsid w:val="006E4FEA"/>
    <w:rsid w:val="006F43BE"/>
    <w:rsid w:val="00704CD3"/>
    <w:rsid w:val="00707632"/>
    <w:rsid w:val="007148BD"/>
    <w:rsid w:val="00733C52"/>
    <w:rsid w:val="00734E3C"/>
    <w:rsid w:val="00746985"/>
    <w:rsid w:val="00755A52"/>
    <w:rsid w:val="0078302E"/>
    <w:rsid w:val="00784AD1"/>
    <w:rsid w:val="0079623C"/>
    <w:rsid w:val="007A0C54"/>
    <w:rsid w:val="007A109C"/>
    <w:rsid w:val="007B0E22"/>
    <w:rsid w:val="007C522E"/>
    <w:rsid w:val="007D0DBB"/>
    <w:rsid w:val="007D1712"/>
    <w:rsid w:val="007E2E1A"/>
    <w:rsid w:val="0080108D"/>
    <w:rsid w:val="008039FA"/>
    <w:rsid w:val="00804B34"/>
    <w:rsid w:val="00811620"/>
    <w:rsid w:val="00813F18"/>
    <w:rsid w:val="00817160"/>
    <w:rsid w:val="00821CAD"/>
    <w:rsid w:val="00824319"/>
    <w:rsid w:val="00824730"/>
    <w:rsid w:val="00832F16"/>
    <w:rsid w:val="008572CF"/>
    <w:rsid w:val="00857E91"/>
    <w:rsid w:val="00860EDC"/>
    <w:rsid w:val="00892CF9"/>
    <w:rsid w:val="008949B2"/>
    <w:rsid w:val="008B5B05"/>
    <w:rsid w:val="008D7AB4"/>
    <w:rsid w:val="008E2991"/>
    <w:rsid w:val="00910D22"/>
    <w:rsid w:val="009217B6"/>
    <w:rsid w:val="00941837"/>
    <w:rsid w:val="00950EFD"/>
    <w:rsid w:val="009712BB"/>
    <w:rsid w:val="00973188"/>
    <w:rsid w:val="00987E5E"/>
    <w:rsid w:val="009A17F7"/>
    <w:rsid w:val="009A202B"/>
    <w:rsid w:val="009A5F55"/>
    <w:rsid w:val="009C3761"/>
    <w:rsid w:val="009C4AC1"/>
    <w:rsid w:val="009E0435"/>
    <w:rsid w:val="009E073B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AF4B73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652A5"/>
    <w:rsid w:val="00C86D3A"/>
    <w:rsid w:val="00C92FC6"/>
    <w:rsid w:val="00C92FFA"/>
    <w:rsid w:val="00CA7450"/>
    <w:rsid w:val="00CB6E78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2D7E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151"/>
    <w:rsid w:val="00EA47BE"/>
    <w:rsid w:val="00EA4AD4"/>
    <w:rsid w:val="00EA7F4A"/>
    <w:rsid w:val="00EC6C1D"/>
    <w:rsid w:val="00EE266E"/>
    <w:rsid w:val="00EE70EE"/>
    <w:rsid w:val="00EF676F"/>
    <w:rsid w:val="00F00275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3F35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651B-8996-4727-9095-C8147F7D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2017-07-20T14:53:00Z</dcterms:created>
  <dcterms:modified xsi:type="dcterms:W3CDTF">2017-07-20T14:53:00Z</dcterms:modified>
</cp:coreProperties>
</file>