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C36BD" w14:textId="77777777" w:rsidR="00225CA0" w:rsidRDefault="00225CA0" w:rsidP="00225CA0">
      <w:pPr>
        <w:spacing w:line="240" w:lineRule="auto"/>
        <w:jc w:val="center"/>
        <w:rPr>
          <w:b/>
          <w:caps/>
          <w:szCs w:val="24"/>
        </w:rPr>
      </w:pPr>
      <w:r w:rsidRPr="00225CA0">
        <w:rPr>
          <w:b/>
          <w:caps/>
          <w:szCs w:val="24"/>
        </w:rPr>
        <w:t>DESEMPENHO PRODUTIVO DA TILÁPIA (</w:t>
      </w:r>
      <w:r w:rsidRPr="00225CA0">
        <w:rPr>
          <w:b/>
          <w:i/>
          <w:caps/>
          <w:szCs w:val="24"/>
        </w:rPr>
        <w:t>O</w:t>
      </w:r>
      <w:r w:rsidRPr="00225CA0">
        <w:rPr>
          <w:b/>
          <w:i/>
          <w:szCs w:val="24"/>
        </w:rPr>
        <w:t>reochromis niloticus</w:t>
      </w:r>
      <w:r w:rsidRPr="00225CA0">
        <w:rPr>
          <w:b/>
          <w:caps/>
          <w:szCs w:val="24"/>
        </w:rPr>
        <w:t>)</w:t>
      </w:r>
      <w:r>
        <w:rPr>
          <w:b/>
          <w:caps/>
          <w:szCs w:val="24"/>
        </w:rPr>
        <w:t xml:space="preserve"> em diferentes classes de tamanho</w:t>
      </w:r>
    </w:p>
    <w:p w14:paraId="344CC82D" w14:textId="77777777" w:rsidR="00225CA0" w:rsidRDefault="00225CA0" w:rsidP="00C428DA">
      <w:pPr>
        <w:spacing w:after="0" w:line="240" w:lineRule="auto"/>
        <w:jc w:val="center"/>
        <w:rPr>
          <w:rFonts w:eastAsia="Times New Roman"/>
          <w:b/>
          <w:szCs w:val="24"/>
          <w:lang w:eastAsia="pt-BR"/>
        </w:rPr>
      </w:pPr>
      <w:r>
        <w:rPr>
          <w:rFonts w:eastAsia="Times New Roman"/>
          <w:b/>
          <w:szCs w:val="24"/>
          <w:lang w:eastAsia="pt-BR"/>
        </w:rPr>
        <w:t>Adriana Tonin¹*; Pitágoras Augusto Piana²; Grace Kelly Goudinho Pires³; Karla Pontarollo</w:t>
      </w:r>
      <w:r w:rsidRPr="00225CA0">
        <w:rPr>
          <w:rFonts w:eastAsia="Times New Roman"/>
          <w:b/>
          <w:szCs w:val="24"/>
          <w:vertAlign w:val="superscript"/>
          <w:lang w:eastAsia="pt-BR"/>
        </w:rPr>
        <w:t>4</w:t>
      </w:r>
      <w:r>
        <w:rPr>
          <w:rFonts w:eastAsia="Times New Roman"/>
          <w:b/>
          <w:szCs w:val="24"/>
          <w:lang w:eastAsia="pt-BR"/>
        </w:rPr>
        <w:t>.</w:t>
      </w:r>
    </w:p>
    <w:p w14:paraId="00A8462F" w14:textId="77777777" w:rsidR="00C428DA" w:rsidRPr="00167185" w:rsidRDefault="00C428DA" w:rsidP="00C428DA">
      <w:pPr>
        <w:spacing w:after="0" w:line="240" w:lineRule="auto"/>
        <w:jc w:val="center"/>
        <w:rPr>
          <w:rFonts w:eastAsia="Times New Roman"/>
          <w:b/>
          <w:szCs w:val="24"/>
          <w:lang w:eastAsia="pt-BR"/>
        </w:rPr>
      </w:pPr>
    </w:p>
    <w:p w14:paraId="529938C3" w14:textId="25E05DB2" w:rsidR="00225CA0" w:rsidRDefault="00225CA0" w:rsidP="00C428DA">
      <w:pPr>
        <w:autoSpaceDE w:val="0"/>
        <w:autoSpaceDN w:val="0"/>
        <w:adjustRightInd w:val="0"/>
        <w:spacing w:after="0" w:line="240" w:lineRule="auto"/>
        <w:jc w:val="both"/>
        <w:rPr>
          <w:sz w:val="20"/>
          <w:szCs w:val="20"/>
        </w:rPr>
      </w:pPr>
      <w:r>
        <w:rPr>
          <w:sz w:val="20"/>
          <w:szCs w:val="20"/>
        </w:rPr>
        <w:t>¹adriana.tonin@outlook.com. Graduanda em Engenharia de Pesca</w:t>
      </w:r>
      <w:r w:rsidR="004D5B01">
        <w:rPr>
          <w:sz w:val="20"/>
          <w:szCs w:val="20"/>
        </w:rPr>
        <w:t>/UNIOESTE.²pitapiana@yahoo.com.br. Doutor em Ciências Ambientais/</w:t>
      </w:r>
      <w:r w:rsidR="00D64CD1">
        <w:rPr>
          <w:sz w:val="20"/>
          <w:szCs w:val="20"/>
        </w:rPr>
        <w:t xml:space="preserve">UEM. </w:t>
      </w:r>
      <w:r w:rsidR="004D5B01">
        <w:rPr>
          <w:sz w:val="20"/>
          <w:szCs w:val="20"/>
        </w:rPr>
        <w:t>³</w:t>
      </w:r>
      <w:hyperlink r:id="rId7" w:history="1">
        <w:r w:rsidR="004D5B01" w:rsidRPr="004D5B01">
          <w:rPr>
            <w:rStyle w:val="Hyperlink"/>
            <w:color w:val="auto"/>
            <w:sz w:val="20"/>
            <w:szCs w:val="20"/>
            <w:u w:val="none"/>
          </w:rPr>
          <w:t>gracegoudinho@hotmail.com</w:t>
        </w:r>
      </w:hyperlink>
      <w:r w:rsidR="004D5B01" w:rsidRPr="004D5B01">
        <w:rPr>
          <w:sz w:val="20"/>
          <w:szCs w:val="20"/>
        </w:rPr>
        <w:t>.</w:t>
      </w:r>
      <w:r w:rsidR="004D5B01">
        <w:rPr>
          <w:sz w:val="20"/>
          <w:szCs w:val="20"/>
        </w:rPr>
        <w:t xml:space="preserve"> Graduanda em Engenharia de Pesca/UNIOESTE. </w:t>
      </w:r>
      <w:r w:rsidR="004D5B01" w:rsidRPr="004D5B01">
        <w:rPr>
          <w:sz w:val="20"/>
          <w:szCs w:val="20"/>
          <w:vertAlign w:val="superscript"/>
        </w:rPr>
        <w:t>4</w:t>
      </w:r>
      <w:r w:rsidR="004D5B01">
        <w:rPr>
          <w:sz w:val="20"/>
          <w:szCs w:val="20"/>
        </w:rPr>
        <w:t>karlapontarollo@hotmail.com. Graduanda em Engenharia de Pesca/UNIOESTE.</w:t>
      </w:r>
    </w:p>
    <w:p w14:paraId="5B2379D0" w14:textId="77777777" w:rsidR="003270C9" w:rsidRDefault="003270C9" w:rsidP="00880ABD">
      <w:pPr>
        <w:autoSpaceDE w:val="0"/>
        <w:autoSpaceDN w:val="0"/>
        <w:adjustRightInd w:val="0"/>
        <w:spacing w:after="0" w:line="240" w:lineRule="auto"/>
        <w:jc w:val="both"/>
        <w:rPr>
          <w:b/>
          <w:szCs w:val="24"/>
          <w:lang w:eastAsia="pt-BR"/>
        </w:rPr>
      </w:pPr>
    </w:p>
    <w:p w14:paraId="7B051838" w14:textId="77777777" w:rsidR="004D5B01" w:rsidRDefault="004D5B01" w:rsidP="00880ABD">
      <w:pPr>
        <w:autoSpaceDE w:val="0"/>
        <w:autoSpaceDN w:val="0"/>
        <w:adjustRightInd w:val="0"/>
        <w:spacing w:after="0" w:line="240" w:lineRule="auto"/>
        <w:jc w:val="both"/>
        <w:rPr>
          <w:b/>
          <w:szCs w:val="24"/>
          <w:lang w:eastAsia="pt-BR"/>
        </w:rPr>
      </w:pPr>
    </w:p>
    <w:p w14:paraId="0D7F1F9F" w14:textId="77777777"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14:paraId="60ECD33A" w14:textId="77777777" w:rsidR="00880ABD" w:rsidRDefault="00880ABD" w:rsidP="00880ABD">
      <w:pPr>
        <w:autoSpaceDE w:val="0"/>
        <w:autoSpaceDN w:val="0"/>
        <w:adjustRightInd w:val="0"/>
        <w:spacing w:after="0" w:line="240" w:lineRule="auto"/>
        <w:jc w:val="both"/>
        <w:rPr>
          <w:b/>
          <w:szCs w:val="24"/>
          <w:lang w:eastAsia="pt-BR"/>
        </w:rPr>
      </w:pPr>
    </w:p>
    <w:p w14:paraId="7870484F" w14:textId="77777777" w:rsidR="00706E0D" w:rsidRDefault="00473910" w:rsidP="00473910">
      <w:pPr>
        <w:spacing w:after="0" w:line="240" w:lineRule="auto"/>
        <w:jc w:val="both"/>
        <w:rPr>
          <w:color w:val="000000"/>
        </w:rPr>
      </w:pPr>
      <w:r w:rsidRPr="00473910">
        <w:rPr>
          <w:color w:val="000000"/>
        </w:rPr>
        <w:t xml:space="preserve">A heterogeneidade no tamanho dos peixes no momento do abate é um problema para o bom aproveitamento do peixe pelo frigorifico. Assim, </w:t>
      </w:r>
      <w:r w:rsidR="00E41A5F" w:rsidRPr="00473910">
        <w:rPr>
          <w:color w:val="000000"/>
        </w:rPr>
        <w:t>averiguamos</w:t>
      </w:r>
      <w:r w:rsidRPr="00473910">
        <w:rPr>
          <w:color w:val="000000"/>
        </w:rPr>
        <w:t xml:space="preserve"> se a homogeneidade de lotes de alevinos pode </w:t>
      </w:r>
      <w:r w:rsidR="00E41A5F">
        <w:rPr>
          <w:color w:val="000000"/>
        </w:rPr>
        <w:t xml:space="preserve">ajudar a reduzir </w:t>
      </w:r>
      <w:r w:rsidRPr="00473910">
        <w:rPr>
          <w:color w:val="000000"/>
        </w:rPr>
        <w:t xml:space="preserve">as diferenças de tamanho no momento do abate. Para </w:t>
      </w:r>
      <w:r w:rsidR="00E41A5F">
        <w:rPr>
          <w:color w:val="000000"/>
        </w:rPr>
        <w:t>isto</w:t>
      </w:r>
      <w:r w:rsidRPr="00473910">
        <w:rPr>
          <w:color w:val="000000"/>
        </w:rPr>
        <w:t xml:space="preserve">, foi montado um experimento com três tratamentos formados por classes </w:t>
      </w:r>
      <w:r w:rsidR="004B33B2">
        <w:rPr>
          <w:color w:val="000000"/>
        </w:rPr>
        <w:t xml:space="preserve">distintas </w:t>
      </w:r>
      <w:r w:rsidRPr="00473910">
        <w:rPr>
          <w:color w:val="000000"/>
        </w:rPr>
        <w:t>de tamanhos de alevinos</w:t>
      </w:r>
      <w:r w:rsidR="004B33B2">
        <w:rPr>
          <w:color w:val="000000"/>
        </w:rPr>
        <w:t xml:space="preserve"> de mesma idade</w:t>
      </w:r>
      <w:r w:rsidRPr="00473910">
        <w:rPr>
          <w:color w:val="000000"/>
        </w:rPr>
        <w:t xml:space="preserve">, os quais foram acompanhados durante dois meses de cultivo. Observou-se </w:t>
      </w:r>
      <w:r>
        <w:rPr>
          <w:color w:val="000000"/>
        </w:rPr>
        <w:t>que os indivíduos maiores no iní</w:t>
      </w:r>
      <w:r w:rsidRPr="00473910">
        <w:rPr>
          <w:color w:val="000000"/>
        </w:rPr>
        <w:t>cio continuaram sendo os maiores no final, assim como para os menores, indicando que a homogeneidade no tamanho final dos peixes é dependente das predisposições genéticas de cada indivíduo. Diante disto, pode-se concluir que a uniformização dos lotes de alevinos contribui para redução da heterogeneidade de tamanho no momento do abate, sendo está uma prática recomendada.</w:t>
      </w:r>
    </w:p>
    <w:p w14:paraId="069302A7" w14:textId="77777777" w:rsidR="00473910" w:rsidRPr="00473910" w:rsidRDefault="00473910" w:rsidP="00473910">
      <w:pPr>
        <w:spacing w:after="0" w:line="240" w:lineRule="auto"/>
        <w:jc w:val="both"/>
        <w:rPr>
          <w:color w:val="000000"/>
        </w:rPr>
      </w:pPr>
    </w:p>
    <w:p w14:paraId="50D96F33" w14:textId="77777777" w:rsidR="00880ABD" w:rsidRPr="00706E0D" w:rsidRDefault="00880ABD" w:rsidP="00473910">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473910" w:rsidRPr="00473910">
        <w:rPr>
          <w:rFonts w:eastAsia="Times New Roman"/>
          <w:bCs/>
          <w:szCs w:val="24"/>
          <w:lang w:eastAsia="pt-BR"/>
        </w:rPr>
        <w:t>classes de tamanho; crescimento orgânico; heterogeneidade.</w:t>
      </w:r>
    </w:p>
    <w:p w14:paraId="408BC9A6" w14:textId="77777777" w:rsidR="00376441" w:rsidRDefault="00376441" w:rsidP="00D73C82">
      <w:pPr>
        <w:spacing w:after="0" w:line="240" w:lineRule="auto"/>
        <w:jc w:val="both"/>
        <w:rPr>
          <w:rFonts w:eastAsia="Times New Roman"/>
          <w:b/>
          <w:bCs/>
          <w:szCs w:val="24"/>
          <w:lang w:eastAsia="pt-BR"/>
        </w:rPr>
      </w:pPr>
    </w:p>
    <w:p w14:paraId="4DC3C224" w14:textId="77777777" w:rsidR="00376441" w:rsidRDefault="00376441" w:rsidP="00D73C82">
      <w:pPr>
        <w:spacing w:after="0" w:line="240" w:lineRule="auto"/>
        <w:jc w:val="both"/>
        <w:rPr>
          <w:b/>
          <w:szCs w:val="24"/>
          <w:lang w:eastAsia="pt-BR"/>
        </w:rPr>
      </w:pPr>
    </w:p>
    <w:p w14:paraId="69FBBAF0" w14:textId="77777777"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14:paraId="793F7D8C" w14:textId="77777777" w:rsidR="006D7C8B" w:rsidRDefault="006D7C8B" w:rsidP="006D7C8B">
      <w:pPr>
        <w:autoSpaceDE w:val="0"/>
        <w:autoSpaceDN w:val="0"/>
        <w:adjustRightInd w:val="0"/>
        <w:spacing w:after="0" w:line="240" w:lineRule="auto"/>
        <w:jc w:val="both"/>
        <w:rPr>
          <w:b/>
          <w:szCs w:val="24"/>
          <w:lang w:eastAsia="pt-BR"/>
        </w:rPr>
      </w:pPr>
    </w:p>
    <w:p w14:paraId="5F6E7103" w14:textId="24610B43" w:rsidR="007920D9" w:rsidRDefault="007920D9" w:rsidP="006D7C8B">
      <w:pPr>
        <w:tabs>
          <w:tab w:val="left" w:pos="4140"/>
        </w:tabs>
        <w:spacing w:after="0" w:line="240" w:lineRule="auto"/>
        <w:jc w:val="both"/>
        <w:rPr>
          <w:color w:val="000000"/>
        </w:rPr>
      </w:pPr>
      <w:r>
        <w:rPr>
          <w:color w:val="000000"/>
        </w:rPr>
        <w:t xml:space="preserve">The </w:t>
      </w:r>
      <w:r w:rsidR="00B516B7">
        <w:rPr>
          <w:color w:val="000000"/>
        </w:rPr>
        <w:t xml:space="preserve">fish </w:t>
      </w:r>
      <w:r>
        <w:rPr>
          <w:color w:val="000000"/>
        </w:rPr>
        <w:t xml:space="preserve">size heterogeneity at the </w:t>
      </w:r>
      <w:r w:rsidR="00B516B7">
        <w:rPr>
          <w:color w:val="000000"/>
        </w:rPr>
        <w:t>moment</w:t>
      </w:r>
      <w:r>
        <w:rPr>
          <w:color w:val="000000"/>
        </w:rPr>
        <w:t xml:space="preserve"> of slaughter </w:t>
      </w:r>
      <w:r w:rsidR="00B516B7">
        <w:rPr>
          <w:color w:val="000000"/>
        </w:rPr>
        <w:t xml:space="preserve">is a problem for good use of fish processing. </w:t>
      </w:r>
      <w:r w:rsidR="00B516B7" w:rsidRPr="00B516B7">
        <w:rPr>
          <w:color w:val="000000"/>
        </w:rPr>
        <w:t xml:space="preserve">Thus, we investigate whether the homogeneity of </w:t>
      </w:r>
      <w:r w:rsidR="00B516B7">
        <w:rPr>
          <w:color w:val="000000"/>
        </w:rPr>
        <w:t>juveniles</w:t>
      </w:r>
      <w:r w:rsidR="00B516B7" w:rsidRPr="00B516B7">
        <w:rPr>
          <w:color w:val="000000"/>
        </w:rPr>
        <w:t xml:space="preserve"> may help to reduce size differences at the time of slaughter</w:t>
      </w:r>
      <w:r w:rsidR="00B516B7">
        <w:rPr>
          <w:color w:val="000000"/>
        </w:rPr>
        <w:t>. We set up an experiment with three treatments formed by different size class of juveniles of tilápia of the same age, which were cultived during two months. We observed that bigger juveniles were also the bigger fishes in the slaughter moment, suggesting that the homogeneity of adult</w:t>
      </w:r>
      <w:r w:rsidR="00F72B04">
        <w:rPr>
          <w:color w:val="000000"/>
        </w:rPr>
        <w:t>s</w:t>
      </w:r>
      <w:r w:rsidR="00B516B7">
        <w:rPr>
          <w:color w:val="000000"/>
        </w:rPr>
        <w:t xml:space="preserve"> fishes is related with homogeneity of juvelis.</w:t>
      </w:r>
      <w:r w:rsidR="00F72B04">
        <w:rPr>
          <w:color w:val="000000"/>
        </w:rPr>
        <w:t xml:space="preserve"> </w:t>
      </w:r>
      <w:r w:rsidR="00F72B04" w:rsidRPr="00F72B04">
        <w:rPr>
          <w:color w:val="000000"/>
        </w:rPr>
        <w:t xml:space="preserve">In view of this, it can be concluded that standardization of </w:t>
      </w:r>
      <w:r w:rsidR="00F72B04">
        <w:rPr>
          <w:color w:val="000000"/>
        </w:rPr>
        <w:t>juveniles</w:t>
      </w:r>
      <w:r w:rsidR="00F72B04" w:rsidRPr="00F72B04">
        <w:rPr>
          <w:color w:val="000000"/>
        </w:rPr>
        <w:t xml:space="preserve"> contributes to the reduction of size heterogeneity at the time of slaughter, and is a recommended practice.</w:t>
      </w:r>
    </w:p>
    <w:p w14:paraId="574CE5AA" w14:textId="77777777" w:rsidR="006D7C8B" w:rsidRDefault="006D7C8B" w:rsidP="006D7C8B">
      <w:pPr>
        <w:spacing w:after="0" w:line="240" w:lineRule="auto"/>
        <w:rPr>
          <w:rFonts w:eastAsia="Times New Roman"/>
          <w:b/>
          <w:bCs/>
          <w:szCs w:val="24"/>
          <w:lang w:eastAsia="pt-BR"/>
        </w:rPr>
      </w:pPr>
    </w:p>
    <w:p w14:paraId="3C138A84" w14:textId="1C8C02B5" w:rsidR="006D7C8B" w:rsidRPr="00706E0D" w:rsidRDefault="006D7C8B" w:rsidP="006D7C8B">
      <w:pPr>
        <w:spacing w:after="0" w:line="240" w:lineRule="auto"/>
        <w:rPr>
          <w:rFonts w:eastAsia="Times New Roman"/>
          <w:szCs w:val="24"/>
          <w:lang w:eastAsia="pt-BR"/>
        </w:rPr>
      </w:pPr>
      <w:r>
        <w:rPr>
          <w:rFonts w:eastAsia="Times New Roman"/>
          <w:b/>
          <w:bCs/>
          <w:szCs w:val="24"/>
          <w:lang w:eastAsia="pt-BR"/>
        </w:rPr>
        <w:t>Key</w:t>
      </w:r>
      <w:r w:rsidR="00D73C82">
        <w:rPr>
          <w:rFonts w:eastAsia="Times New Roman"/>
          <w:b/>
          <w:bCs/>
          <w:szCs w:val="24"/>
          <w:lang w:eastAsia="pt-BR"/>
        </w:rPr>
        <w:t xml:space="preserve"> </w:t>
      </w:r>
      <w:r>
        <w:rPr>
          <w:rFonts w:eastAsia="Times New Roman"/>
          <w:b/>
          <w:bCs/>
          <w:szCs w:val="24"/>
          <w:lang w:eastAsia="pt-BR"/>
        </w:rPr>
        <w:t>word</w:t>
      </w:r>
      <w:r w:rsidR="00D73C82">
        <w:rPr>
          <w:rFonts w:eastAsia="Times New Roman"/>
          <w:b/>
          <w:bCs/>
          <w:szCs w:val="24"/>
          <w:lang w:eastAsia="pt-BR"/>
        </w:rPr>
        <w:t>s</w:t>
      </w:r>
      <w:r w:rsidRPr="000C28D0">
        <w:rPr>
          <w:rFonts w:eastAsia="Times New Roman"/>
          <w:b/>
          <w:bCs/>
          <w:szCs w:val="24"/>
          <w:lang w:eastAsia="pt-BR"/>
        </w:rPr>
        <w:t xml:space="preserve">: </w:t>
      </w:r>
      <w:r w:rsidR="007920D9">
        <w:rPr>
          <w:rFonts w:eastAsia="Times New Roman"/>
          <w:bCs/>
          <w:szCs w:val="24"/>
          <w:lang w:eastAsia="pt-BR"/>
        </w:rPr>
        <w:t>Size class, organic growth, heterogeneity</w:t>
      </w:r>
      <w:r w:rsidRPr="00706E0D">
        <w:rPr>
          <w:rFonts w:eastAsia="Times New Roman"/>
          <w:szCs w:val="24"/>
          <w:lang w:eastAsia="pt-BR"/>
        </w:rPr>
        <w:t>.</w:t>
      </w:r>
    </w:p>
    <w:p w14:paraId="54B5C909" w14:textId="77777777" w:rsidR="00C86FAA" w:rsidRDefault="00C86FAA" w:rsidP="00C86FAA">
      <w:pPr>
        <w:pStyle w:val="Ttulo1"/>
        <w:spacing w:before="0" w:after="0"/>
        <w:ind w:left="360"/>
        <w:rPr>
          <w:rFonts w:ascii="Times New Roman" w:hAnsi="Times New Roman" w:cs="Times New Roman"/>
          <w:sz w:val="28"/>
          <w:szCs w:val="28"/>
        </w:rPr>
      </w:pPr>
    </w:p>
    <w:p w14:paraId="5CEE4B5D" w14:textId="77777777" w:rsidR="00C86FAA" w:rsidRDefault="00C86FAA" w:rsidP="00C86FAA">
      <w:pPr>
        <w:pStyle w:val="Ttulo1"/>
        <w:spacing w:before="0" w:after="0"/>
        <w:ind w:left="360"/>
        <w:rPr>
          <w:rFonts w:ascii="Times New Roman" w:hAnsi="Times New Roman" w:cs="Times New Roman"/>
          <w:sz w:val="28"/>
          <w:szCs w:val="28"/>
        </w:rPr>
      </w:pPr>
    </w:p>
    <w:p w14:paraId="3CCE1A9C" w14:textId="77777777" w:rsidR="00376441" w:rsidRPr="00D66241" w:rsidRDefault="00D73C82" w:rsidP="00353954">
      <w:pPr>
        <w:numPr>
          <w:ilvl w:val="0"/>
          <w:numId w:val="5"/>
        </w:numPr>
        <w:spacing w:after="0" w:line="240" w:lineRule="auto"/>
        <w:ind w:left="426" w:hanging="426"/>
        <w:rPr>
          <w:b/>
          <w:szCs w:val="24"/>
        </w:rPr>
      </w:pPr>
      <w:r>
        <w:rPr>
          <w:b/>
          <w:szCs w:val="24"/>
        </w:rPr>
        <w:br w:type="page"/>
      </w:r>
      <w:r w:rsidR="0084602C" w:rsidRPr="00D66241">
        <w:rPr>
          <w:b/>
          <w:szCs w:val="24"/>
        </w:rPr>
        <w:lastRenderedPageBreak/>
        <w:t>INTRODUÇÃO</w:t>
      </w:r>
    </w:p>
    <w:p w14:paraId="49DF94C2" w14:textId="77777777" w:rsidR="00C86FAA" w:rsidRPr="00C86FAA" w:rsidRDefault="00C86FAA" w:rsidP="00D66241">
      <w:pPr>
        <w:tabs>
          <w:tab w:val="left" w:pos="4140"/>
        </w:tabs>
        <w:spacing w:after="0" w:line="240" w:lineRule="auto"/>
        <w:ind w:firstLine="539"/>
        <w:jc w:val="both"/>
        <w:rPr>
          <w:color w:val="000000"/>
          <w:szCs w:val="24"/>
        </w:rPr>
      </w:pPr>
    </w:p>
    <w:p w14:paraId="215AB843" w14:textId="77777777" w:rsidR="00473910" w:rsidRPr="00473910" w:rsidRDefault="00473910" w:rsidP="00473910">
      <w:pPr>
        <w:spacing w:after="0" w:line="240" w:lineRule="auto"/>
        <w:ind w:firstLine="567"/>
        <w:jc w:val="both"/>
      </w:pPr>
      <w:r w:rsidRPr="00473910">
        <w:t xml:space="preserve">O grande potencial de mercado, juntamente com o clima favorável, disponibilidade de água e recursos hídricos para produção e as grandes safras de grãos, como milho e soja, gerando matéria prima para a fabricação de ração, são fatores que tornam o Brasil um grande potencial na piscicultura (BOZANO, 2002; KUBITZA, 2003). </w:t>
      </w:r>
      <w:r w:rsidRPr="00473910">
        <w:tab/>
      </w:r>
    </w:p>
    <w:p w14:paraId="305B9764" w14:textId="77777777" w:rsidR="00473910" w:rsidRPr="00473910" w:rsidRDefault="00B875ED" w:rsidP="00473910">
      <w:pPr>
        <w:spacing w:after="0" w:line="240" w:lineRule="auto"/>
        <w:ind w:firstLine="567"/>
        <w:jc w:val="both"/>
      </w:pPr>
      <w:r>
        <w:rPr>
          <w:szCs w:val="24"/>
        </w:rPr>
        <w:t>A piscicultura</w:t>
      </w:r>
      <w:r w:rsidRPr="00410345">
        <w:rPr>
          <w:szCs w:val="24"/>
        </w:rPr>
        <w:t xml:space="preserve"> mundial é dominada pela produção de ciprinídeos</w:t>
      </w:r>
      <w:r>
        <w:rPr>
          <w:szCs w:val="24"/>
        </w:rPr>
        <w:t>,</w:t>
      </w:r>
      <w:r w:rsidRPr="00410345">
        <w:rPr>
          <w:szCs w:val="24"/>
        </w:rPr>
        <w:t xml:space="preserve"> com várias espécies de carpas</w:t>
      </w:r>
      <w:r>
        <w:rPr>
          <w:szCs w:val="24"/>
        </w:rPr>
        <w:t>,</w:t>
      </w:r>
      <w:r w:rsidRPr="00410345">
        <w:rPr>
          <w:szCs w:val="24"/>
        </w:rPr>
        <w:t xml:space="preserve"> </w:t>
      </w:r>
      <w:r>
        <w:rPr>
          <w:szCs w:val="24"/>
        </w:rPr>
        <w:t>seguida pel</w:t>
      </w:r>
      <w:r w:rsidRPr="00410345">
        <w:rPr>
          <w:szCs w:val="24"/>
        </w:rPr>
        <w:t>a tilápia do Nilo</w:t>
      </w:r>
      <w:r>
        <w:rPr>
          <w:szCs w:val="24"/>
        </w:rPr>
        <w:t>,</w:t>
      </w:r>
      <w:r w:rsidRPr="00410345">
        <w:rPr>
          <w:szCs w:val="24"/>
        </w:rPr>
        <w:t xml:space="preserve"> </w:t>
      </w:r>
      <w:r w:rsidRPr="009F541D">
        <w:rPr>
          <w:i/>
          <w:szCs w:val="24"/>
        </w:rPr>
        <w:t>Oreochromis niloticus</w:t>
      </w:r>
      <w:r>
        <w:rPr>
          <w:szCs w:val="24"/>
        </w:rPr>
        <w:t xml:space="preserve"> (SEBRAE, 2015)</w:t>
      </w:r>
      <w:r>
        <w:rPr>
          <w:i/>
          <w:szCs w:val="24"/>
        </w:rPr>
        <w:t xml:space="preserve">. </w:t>
      </w:r>
      <w:r w:rsidR="00473910" w:rsidRPr="00473910">
        <w:t>As tilápias do gênero</w:t>
      </w:r>
      <w:r w:rsidR="00473910" w:rsidRPr="00473910">
        <w:rPr>
          <w:i/>
        </w:rPr>
        <w:t xml:space="preserve"> Oreochromis</w:t>
      </w:r>
      <w:r w:rsidR="00473910" w:rsidRPr="00473910">
        <w:t xml:space="preserve"> são as de maior sucesso produtivo em países de clima tropical ou subtropical (STICKNEY, 2000; CAMPOS-RAMOS et al., 2003; DESPREZ et al</w:t>
      </w:r>
      <w:r w:rsidR="00473910" w:rsidRPr="00473910">
        <w:rPr>
          <w:i/>
        </w:rPr>
        <w:t>.</w:t>
      </w:r>
      <w:r w:rsidR="00473910" w:rsidRPr="00473910">
        <w:t xml:space="preserve">, 2003). </w:t>
      </w:r>
    </w:p>
    <w:p w14:paraId="44CBA1E2" w14:textId="45336B3A" w:rsidR="00473910" w:rsidRPr="00473910" w:rsidRDefault="00473910" w:rsidP="00473910">
      <w:pPr>
        <w:spacing w:after="0" w:line="240" w:lineRule="auto"/>
        <w:ind w:firstLine="567"/>
        <w:jc w:val="both"/>
      </w:pPr>
      <w:r w:rsidRPr="00473910">
        <w:t>A produção de tilápia vem aumentando principalmente pela qualidade da carne, que possui alto valor nutricional, textura e sabor excepcionais, o que proporciona uma ótima aceitação do filé, juntamente com a praticidade no cultivo</w:t>
      </w:r>
      <w:r w:rsidR="004B33B2">
        <w:t>.</w:t>
      </w:r>
      <w:r w:rsidRPr="00473910">
        <w:t xml:space="preserve"> </w:t>
      </w:r>
      <w:r w:rsidR="004B33B2">
        <w:t>P</w:t>
      </w:r>
      <w:r w:rsidRPr="00473910">
        <w:t>orém, ainda não foi definido um peso de abate que proporcione o maior rendimento de filé e carcaça (SOUZA e MARANHÃO, 2001). Segundo N</w:t>
      </w:r>
      <w:r w:rsidR="007157AB" w:rsidRPr="00473910">
        <w:t>ovato</w:t>
      </w:r>
      <w:r w:rsidRPr="00473910">
        <w:t xml:space="preserve"> e V</w:t>
      </w:r>
      <w:r w:rsidR="007157AB" w:rsidRPr="00473910">
        <w:t>iegas</w:t>
      </w:r>
      <w:r w:rsidRPr="00473910">
        <w:t xml:space="preserve"> (1997) há uma relação do peso da tilápia vermelha (</w:t>
      </w:r>
      <w:r w:rsidRPr="00473910">
        <w:rPr>
          <w:i/>
        </w:rPr>
        <w:t>Oreochromis</w:t>
      </w:r>
      <w:r w:rsidRPr="00473910">
        <w:t xml:space="preserve"> sp.) com seu rendimento de filé, sendo o melhor resultado </w:t>
      </w:r>
      <w:r w:rsidR="00D77B93">
        <w:t>atingido</w:t>
      </w:r>
      <w:r w:rsidR="00D77B93" w:rsidRPr="00473910">
        <w:t xml:space="preserve"> </w:t>
      </w:r>
      <w:r w:rsidRPr="00473910">
        <w:t xml:space="preserve">com peixes de </w:t>
      </w:r>
      <w:r w:rsidR="00D77B93">
        <w:t>aproximadamente 500</w:t>
      </w:r>
      <w:r w:rsidRPr="00473910">
        <w:t xml:space="preserve"> g.</w:t>
      </w:r>
    </w:p>
    <w:p w14:paraId="530E2AAD" w14:textId="65442935" w:rsidR="00473910" w:rsidRPr="00473910" w:rsidRDefault="00473910" w:rsidP="00473910">
      <w:pPr>
        <w:spacing w:after="0" w:line="240" w:lineRule="auto"/>
        <w:ind w:firstLine="567"/>
        <w:jc w:val="both"/>
      </w:pPr>
      <w:r w:rsidRPr="00473910">
        <w:t>Portanto, a homogeneidade no tamanho dos peixes no momento do abate é de extrema importância para que os frigoríficos obtenham uma padronização do filé e um melhor aproveitamento do peixe. Esta homogeneidade é resultado de diferentes fatores que afetam o crescimento dessa população (CAVERO et al</w:t>
      </w:r>
      <w:r w:rsidRPr="00473910">
        <w:rPr>
          <w:i/>
        </w:rPr>
        <w:t>.</w:t>
      </w:r>
      <w:r w:rsidRPr="00473910">
        <w:t xml:space="preserve">, 2003). A </w:t>
      </w:r>
      <w:r w:rsidR="004B33B2">
        <w:t>falta de uniformidade no</w:t>
      </w:r>
      <w:r w:rsidRPr="00473910">
        <w:t xml:space="preserve"> tamanho nos lotes de alevinos de tilápia</w:t>
      </w:r>
      <w:r w:rsidRPr="00473910">
        <w:rPr>
          <w:i/>
        </w:rPr>
        <w:t xml:space="preserve"> Oreochromis niloticus</w:t>
      </w:r>
      <w:r w:rsidRPr="00473910">
        <w:t xml:space="preserve">, certamente é um dos elementos que propicia a heterogeneidade do lote no final do cultivo dos peixes, devido aos maiores no início tenderem a se sobressair em relação aos demais até o final da produção (KUBITZA, 2006). Isto ocorre em função da própria aptidão genética do indivíduo para o crescimento, bem como de interações sociais entre os indivíduos. Interações sociais são comuns em espécies territorialistas, como é o caso dos ciclídeos (LOWE-MCCONNELL, 1958; CARVALHO e GONÇALVES-DE-FREITAS, 2008), nos quais os dominantes têm prioridades em relação aos subordinados na obtenção de alimento, gerando diferenças no crescimento (VOLPATO et al., 1989). </w:t>
      </w:r>
    </w:p>
    <w:p w14:paraId="618804F0" w14:textId="3F47778E" w:rsidR="00473910" w:rsidRPr="00473910" w:rsidRDefault="00473910" w:rsidP="00473910">
      <w:pPr>
        <w:spacing w:after="0" w:line="240" w:lineRule="auto"/>
        <w:ind w:firstLine="567"/>
        <w:jc w:val="both"/>
      </w:pPr>
      <w:r w:rsidRPr="00473910">
        <w:t xml:space="preserve">A demanda de alimento do peixe é determinada pelo seu metabolismo, que é um processo biológico regido pelos princípios físicos e químicos que </w:t>
      </w:r>
      <w:r w:rsidR="00935695">
        <w:t>agem</w:t>
      </w:r>
      <w:r w:rsidR="00935695" w:rsidRPr="00473910">
        <w:t xml:space="preserve"> </w:t>
      </w:r>
      <w:r w:rsidR="00935695">
        <w:t>n</w:t>
      </w:r>
      <w:r w:rsidRPr="00473910">
        <w:t>as transformações de energia e materiais. A taxa global destes processos, a taxa metabólica, define o ritmo de vida dos organismos, e é afetada principalmente pela temperatura, mas também pelo tamanho corporal e composição química. O aumento da temperatura acelera o metabolismo e resulta em maior consumo e consequentemente, maior crescimento. Além disso, os processos fisiológicos são proporcionais ao tamanho do indiv</w:t>
      </w:r>
      <w:r w:rsidR="004B33B2">
        <w:t>í</w:t>
      </w:r>
      <w:r w:rsidRPr="00473910">
        <w:t>duo, sendo assim os maiores tendem a crescer mais rápido do que os menores (BROWN</w:t>
      </w:r>
      <w:r w:rsidRPr="00473910">
        <w:rPr>
          <w:i/>
        </w:rPr>
        <w:t xml:space="preserve"> </w:t>
      </w:r>
      <w:r w:rsidRPr="00473910">
        <w:t>et al., 2004).</w:t>
      </w:r>
    </w:p>
    <w:p w14:paraId="3A326014" w14:textId="77777777" w:rsidR="00473910" w:rsidRPr="00473910" w:rsidRDefault="00473910" w:rsidP="00473910">
      <w:pPr>
        <w:spacing w:after="0" w:line="240" w:lineRule="auto"/>
        <w:ind w:firstLine="567"/>
        <w:jc w:val="both"/>
      </w:pPr>
      <w:r w:rsidRPr="00473910">
        <w:t>Apesar de o estresse e a variação do crescimento nos peixes geralmente estarem relacionados com a captura de alimento, há também fenômenos que alteram a condição fisiológica e sanidade dos peixes como, por exemplo, o déficit de oxigênio em peixes de respiração aquática obrigatória</w:t>
      </w:r>
      <w:r>
        <w:t xml:space="preserve"> (ONO e</w:t>
      </w:r>
      <w:r w:rsidRPr="00473910">
        <w:t xml:space="preserve"> KUBITZA, 1999), e ainda a ação de agentes patogênicos (PAVANELLI et al., 1998).</w:t>
      </w:r>
    </w:p>
    <w:p w14:paraId="399CA087" w14:textId="14916B51" w:rsidR="00473910" w:rsidRPr="00473910" w:rsidRDefault="00473910" w:rsidP="00473910">
      <w:pPr>
        <w:spacing w:after="0" w:line="240" w:lineRule="auto"/>
        <w:ind w:firstLine="567"/>
        <w:jc w:val="both"/>
      </w:pPr>
      <w:r w:rsidRPr="00473910">
        <w:t xml:space="preserve">Outros fatores também podem influenciar na heterogeneidade dos tamanhos. As diferentes combinações genéticas é um deles, já que pode fornecer características favoráveis para </w:t>
      </w:r>
      <w:r w:rsidR="004B33B2">
        <w:t>o crescimento</w:t>
      </w:r>
      <w:r w:rsidRPr="00473910">
        <w:t>, como fácil adaptação ao local de produção, tolerância às doenças, melhor conversão da ração ingerida e maior apetite, entre outras. Além destas características intrínsecas ao organismo, o manejo durante o cultivo pode ocasionar a não uniformidade, o fornecimento de ração em pouca quantidade, diversas vezes ao dia, pode acarretar em maior competição entre os peixes, uma vez que os maiores são mais vorazes, e se alimentam da maior parte da ração em todas as vezes, fazendo com que diminua a disponibilidade de ração para os peixes menores (KUBITZA, 2006). A alta densidade de estocagem também induz a heterogeneidade no tamanho, visto que provoca maior estresse, resultando em alterações do comportamento, como maior competição por espaço e alimento (</w:t>
      </w:r>
      <w:r w:rsidRPr="00473910">
        <w:rPr>
          <w:bCs/>
        </w:rPr>
        <w:t>HAYASHI et al., 2004)</w:t>
      </w:r>
      <w:r w:rsidRPr="00473910">
        <w:t xml:space="preserve">. </w:t>
      </w:r>
    </w:p>
    <w:p w14:paraId="48C73CE6" w14:textId="69ED0E5D" w:rsidR="00D66241" w:rsidRDefault="00473910" w:rsidP="007157AB">
      <w:pPr>
        <w:spacing w:after="0" w:line="240" w:lineRule="auto"/>
        <w:ind w:firstLine="567"/>
        <w:jc w:val="both"/>
      </w:pPr>
      <w:r w:rsidRPr="00473910">
        <w:lastRenderedPageBreak/>
        <w:t xml:space="preserve">Diante disto, o objetivo desse estudo foi testar a hipótese de dependência do ganho de peso final em relação à estruturação populacional em classes de tamanho do início do cultivo. Para tanto foram avaliados peso e comprimento padrão ao longo do cultivo e a distribuição de peso inicial e final através das medidas de simetria e curtose. Dessa forma </w:t>
      </w:r>
      <w:r w:rsidR="00D55EAD">
        <w:t>foi</w:t>
      </w:r>
      <w:r w:rsidR="00D55EAD" w:rsidRPr="00473910">
        <w:t xml:space="preserve"> </w:t>
      </w:r>
      <w:r w:rsidRPr="00473910">
        <w:t xml:space="preserve">possível verificar a eficácia da padronização dos alevinos para </w:t>
      </w:r>
      <w:r w:rsidR="00D55EAD">
        <w:t xml:space="preserve">homogeneidade de tamanhos no final da </w:t>
      </w:r>
      <w:r w:rsidRPr="00473910">
        <w:t xml:space="preserve">produção. </w:t>
      </w:r>
    </w:p>
    <w:p w14:paraId="1E7825F0" w14:textId="77777777" w:rsidR="007157AB" w:rsidRDefault="007157AB" w:rsidP="007157AB">
      <w:pPr>
        <w:spacing w:after="0" w:line="240" w:lineRule="auto"/>
        <w:ind w:firstLine="567"/>
        <w:jc w:val="both"/>
      </w:pPr>
    </w:p>
    <w:p w14:paraId="02542EA0" w14:textId="77777777"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14:paraId="728D59B5" w14:textId="77777777" w:rsidR="00376441" w:rsidRPr="00C86FAA" w:rsidRDefault="00376441" w:rsidP="00D66241">
      <w:pPr>
        <w:pStyle w:val="Ttulo1"/>
        <w:spacing w:before="0" w:after="0"/>
        <w:jc w:val="both"/>
        <w:rPr>
          <w:rFonts w:ascii="Times New Roman" w:hAnsi="Times New Roman" w:cs="Times New Roman"/>
          <w:caps/>
          <w:sz w:val="24"/>
          <w:szCs w:val="24"/>
        </w:rPr>
      </w:pPr>
    </w:p>
    <w:p w14:paraId="33B76DB1" w14:textId="77777777" w:rsidR="00464422" w:rsidRPr="00464422" w:rsidRDefault="00464422" w:rsidP="00464422">
      <w:pPr>
        <w:spacing w:after="0" w:line="240" w:lineRule="auto"/>
        <w:ind w:firstLine="567"/>
        <w:jc w:val="both"/>
        <w:rPr>
          <w:color w:val="000000"/>
          <w:szCs w:val="24"/>
        </w:rPr>
      </w:pPr>
      <w:r w:rsidRPr="00464422">
        <w:rPr>
          <w:color w:val="000000"/>
          <w:szCs w:val="24"/>
        </w:rPr>
        <w:t>Um experimento em delineamento inteiramente casualizado (DIC) em 15 tanques de terra de área aproximada de 6 m</w:t>
      </w:r>
      <w:r w:rsidRPr="001C37ED">
        <w:rPr>
          <w:color w:val="000000"/>
          <w:szCs w:val="24"/>
          <w:vertAlign w:val="superscript"/>
        </w:rPr>
        <w:t>2</w:t>
      </w:r>
      <w:r w:rsidRPr="00464422">
        <w:rPr>
          <w:color w:val="000000"/>
          <w:szCs w:val="24"/>
        </w:rPr>
        <w:t xml:space="preserve"> foi conduzido no Instituto de Pesquisas e Aquicultura Ambiental – InPAA – Unioeste, durante 60 dias, com 4 amostras. Organizou-se o DIC com 3 tratamentos formados por classes de tamanho (pequeno, médio e grande) dos espécimes no início da criação, com 5 réplicas cada.</w:t>
      </w:r>
    </w:p>
    <w:p w14:paraId="1EF7F04D" w14:textId="77777777" w:rsidR="00464422" w:rsidRPr="00464422" w:rsidRDefault="00E41A5F" w:rsidP="00464422">
      <w:pPr>
        <w:spacing w:after="0" w:line="240" w:lineRule="auto"/>
        <w:ind w:firstLine="567"/>
        <w:jc w:val="both"/>
        <w:rPr>
          <w:color w:val="000000"/>
          <w:szCs w:val="24"/>
        </w:rPr>
      </w:pPr>
      <w:r>
        <w:rPr>
          <w:color w:val="000000"/>
          <w:szCs w:val="24"/>
        </w:rPr>
        <w:t xml:space="preserve">Adquiriu-se 400 exemplares de tilápia do Nilo </w:t>
      </w:r>
      <w:r w:rsidRPr="00E41A5F">
        <w:rPr>
          <w:color w:val="000000"/>
          <w:szCs w:val="24"/>
        </w:rPr>
        <w:t>(</w:t>
      </w:r>
      <w:r w:rsidRPr="00E41A5F">
        <w:rPr>
          <w:i/>
          <w:color w:val="000000"/>
          <w:szCs w:val="24"/>
        </w:rPr>
        <w:t>Oreochromis niloticus</w:t>
      </w:r>
      <w:r>
        <w:rPr>
          <w:color w:val="000000"/>
          <w:szCs w:val="24"/>
        </w:rPr>
        <w:t>)</w:t>
      </w:r>
      <w:r w:rsidR="00464422" w:rsidRPr="00464422">
        <w:rPr>
          <w:color w:val="000000"/>
          <w:szCs w:val="24"/>
        </w:rPr>
        <w:t xml:space="preserve"> de uma única desova que estavam com 120 dias. Mediu-se o comprimento padrão de uma amostra de 60 peixes. Para formar os 3 tratamentos de classes de tamanho utilizou-se os valores correspondentes aos percentis de 33% e 66%, para os grupos pequenos (0-33), médios (33-66) e grandes (66-100). Misturaram-se esses peixes com os demais e posteriormente mediu-se 300 peixes separando-os nas classes e colocando 20 peixes para cada unidade experimental. </w:t>
      </w:r>
    </w:p>
    <w:p w14:paraId="28CA7B03" w14:textId="77777777" w:rsidR="00464422" w:rsidRPr="00464422" w:rsidRDefault="00464422" w:rsidP="00464422">
      <w:pPr>
        <w:spacing w:after="0" w:line="240" w:lineRule="auto"/>
        <w:ind w:firstLine="567"/>
        <w:jc w:val="both"/>
        <w:rPr>
          <w:color w:val="000000"/>
          <w:szCs w:val="24"/>
        </w:rPr>
      </w:pPr>
      <w:r w:rsidRPr="00464422">
        <w:rPr>
          <w:color w:val="000000"/>
          <w:szCs w:val="24"/>
        </w:rPr>
        <w:t>Manejou-se cada tanque, ou unidade experimental, de modo similar ao que é praticado nas pisciculturas regionais do Oeste do Paraná, ou seja, com densidade de estocagem de 3 espécimes/m</w:t>
      </w:r>
      <w:r w:rsidRPr="001C37ED">
        <w:rPr>
          <w:color w:val="000000"/>
          <w:szCs w:val="24"/>
          <w:vertAlign w:val="superscript"/>
        </w:rPr>
        <w:t>2</w:t>
      </w:r>
      <w:r w:rsidRPr="00464422">
        <w:rPr>
          <w:color w:val="000000"/>
          <w:szCs w:val="24"/>
        </w:rPr>
        <w:t>, alimentação realizada com ração comercial fornecida 3 vezes ao dia corrigida para a biomassa e temperatura da água, biometrias quinzenais e acompanhamento de algumas variáveis físicas e químicas, como oxigênio dissolvido, pH, amônia e nitrito, conforme recomendado em K</w:t>
      </w:r>
      <w:r w:rsidR="001C37ED" w:rsidRPr="00464422">
        <w:rPr>
          <w:color w:val="000000"/>
          <w:szCs w:val="24"/>
        </w:rPr>
        <w:t xml:space="preserve">ubitza </w:t>
      </w:r>
      <w:r w:rsidRPr="00464422">
        <w:rPr>
          <w:color w:val="000000"/>
          <w:szCs w:val="24"/>
        </w:rPr>
        <w:t>(2007).</w:t>
      </w:r>
    </w:p>
    <w:p w14:paraId="04975DC4" w14:textId="40305FCA" w:rsidR="00B0341C" w:rsidRDefault="00464422" w:rsidP="00B0341C">
      <w:pPr>
        <w:spacing w:after="0" w:line="240" w:lineRule="auto"/>
        <w:ind w:firstLine="567"/>
        <w:jc w:val="both"/>
        <w:rPr>
          <w:color w:val="000000"/>
          <w:szCs w:val="24"/>
        </w:rPr>
      </w:pPr>
      <w:r w:rsidRPr="00464422">
        <w:rPr>
          <w:color w:val="000000"/>
          <w:szCs w:val="24"/>
        </w:rPr>
        <w:t>Como as características de interesse são variáveis quantitativas e foram avaliavas em vários momentos no mesmo grupo de indivíduos, utilizou-se a Análise de Variância para Medidas Repetidas (RM-ANOVA</w:t>
      </w:r>
      <w:r w:rsidR="008F68B6">
        <w:rPr>
          <w:color w:val="000000"/>
          <w:szCs w:val="24"/>
        </w:rPr>
        <w:t xml:space="preserve">), </w:t>
      </w:r>
      <w:r w:rsidRPr="00464422">
        <w:rPr>
          <w:color w:val="000000"/>
          <w:szCs w:val="24"/>
        </w:rPr>
        <w:t xml:space="preserve">com nível de significância de 5%, sendo aplicada uma para o peso (Wt) e uma para o comprimento padrão (Ls). Para o Ls todos os pressupostos da RM-ANOVA foram atingidos, enquanto que para o Wt foi </w:t>
      </w:r>
      <w:r w:rsidR="00B0341C" w:rsidRPr="00464422">
        <w:rPr>
          <w:color w:val="000000"/>
          <w:szCs w:val="24"/>
        </w:rPr>
        <w:t>necessária transformação</w:t>
      </w:r>
      <w:r w:rsidRPr="00464422">
        <w:rPr>
          <w:color w:val="000000"/>
          <w:szCs w:val="24"/>
        </w:rPr>
        <w:t xml:space="preserve"> em log e ut</w:t>
      </w:r>
      <w:r w:rsidR="00B0341C">
        <w:rPr>
          <w:color w:val="000000"/>
          <w:szCs w:val="24"/>
        </w:rPr>
        <w:t xml:space="preserve">ilizar a correção de Greenhouse e </w:t>
      </w:r>
      <w:r w:rsidRPr="00464422">
        <w:rPr>
          <w:color w:val="000000"/>
          <w:szCs w:val="24"/>
        </w:rPr>
        <w:t>Geisser</w:t>
      </w:r>
      <w:r w:rsidR="00B0341C">
        <w:rPr>
          <w:color w:val="000000"/>
          <w:szCs w:val="24"/>
        </w:rPr>
        <w:t xml:space="preserve"> (1958) e Huynh e </w:t>
      </w:r>
      <w:r w:rsidRPr="00464422">
        <w:rPr>
          <w:color w:val="000000"/>
          <w:szCs w:val="24"/>
        </w:rPr>
        <w:t>Feldt</w:t>
      </w:r>
      <w:r w:rsidR="00B0341C">
        <w:rPr>
          <w:color w:val="000000"/>
          <w:szCs w:val="24"/>
        </w:rPr>
        <w:t xml:space="preserve"> (1976)</w:t>
      </w:r>
      <w:r w:rsidRPr="00464422">
        <w:rPr>
          <w:color w:val="000000"/>
          <w:szCs w:val="24"/>
        </w:rPr>
        <w:t xml:space="preserve"> a fim de corrigir os graus de liberdade da distribuição F, resultando em um valo</w:t>
      </w:r>
      <w:r w:rsidR="008F68B6">
        <w:rPr>
          <w:color w:val="000000"/>
          <w:szCs w:val="24"/>
        </w:rPr>
        <w:t>r de significância mais preciso.</w:t>
      </w:r>
      <w:bookmarkStart w:id="0" w:name="_GoBack"/>
      <w:bookmarkEnd w:id="0"/>
    </w:p>
    <w:p w14:paraId="3660EBB3" w14:textId="0FC14597" w:rsidR="00464422" w:rsidRDefault="00755190" w:rsidP="00B0341C">
      <w:pPr>
        <w:spacing w:after="0" w:line="240" w:lineRule="auto"/>
        <w:ind w:firstLine="567"/>
        <w:jc w:val="both"/>
        <w:rPr>
          <w:color w:val="000000"/>
          <w:szCs w:val="24"/>
        </w:rPr>
      </w:pPr>
      <w:r w:rsidRPr="00755190">
        <w:rPr>
          <w:color w:val="000000"/>
          <w:szCs w:val="24"/>
        </w:rPr>
        <w:t>Todas as análises foram realizadas com auxílio do software Statistica 7.1 (StatSoft, 2005).</w:t>
      </w:r>
    </w:p>
    <w:p w14:paraId="3F3EF41D" w14:textId="77777777" w:rsidR="00755190" w:rsidRPr="00755190" w:rsidRDefault="00755190" w:rsidP="00755190">
      <w:pPr>
        <w:spacing w:after="0" w:line="240" w:lineRule="auto"/>
        <w:ind w:firstLine="539"/>
        <w:jc w:val="both"/>
        <w:rPr>
          <w:color w:val="000000"/>
          <w:szCs w:val="24"/>
        </w:rPr>
      </w:pPr>
    </w:p>
    <w:p w14:paraId="6D27DE50" w14:textId="77777777"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14:paraId="2D88A4D7" w14:textId="77777777" w:rsidR="00C86FAA" w:rsidRPr="00C86FAA" w:rsidRDefault="00C86FAA" w:rsidP="00D66241">
      <w:pPr>
        <w:spacing w:after="0" w:line="240" w:lineRule="auto"/>
        <w:ind w:firstLine="539"/>
        <w:jc w:val="both"/>
        <w:rPr>
          <w:color w:val="000000"/>
          <w:szCs w:val="24"/>
        </w:rPr>
      </w:pPr>
    </w:p>
    <w:p w14:paraId="6E2896A8" w14:textId="77777777" w:rsidR="00464422" w:rsidRPr="00464422" w:rsidRDefault="00464422" w:rsidP="001C37ED">
      <w:pPr>
        <w:spacing w:line="240" w:lineRule="auto"/>
        <w:ind w:firstLine="567"/>
        <w:jc w:val="both"/>
        <w:rPr>
          <w:szCs w:val="24"/>
        </w:rPr>
      </w:pPr>
      <w:r w:rsidRPr="00464422">
        <w:rPr>
          <w:szCs w:val="24"/>
        </w:rPr>
        <w:t xml:space="preserve">Os valores médios±DP das classes de tamanho que formaram os tratamentos no início do experimento foram 4,80±0,44 cm para o tratamento pequeno; 5,60±0,12 cm para o médio; e 6,17±0,20 cm para o grande. O acompanhamento dos parâmetros físicos e químicos (Tabela 1) ao longo do experimento indicou que os mesmos </w:t>
      </w:r>
      <w:r w:rsidR="00E41A5F">
        <w:rPr>
          <w:szCs w:val="24"/>
        </w:rPr>
        <w:t>se mantiveram dentro da faixa indicada</w:t>
      </w:r>
      <w:r w:rsidRPr="00464422">
        <w:rPr>
          <w:szCs w:val="24"/>
        </w:rPr>
        <w:t xml:space="preserve"> para o cultivo</w:t>
      </w:r>
      <w:r w:rsidR="00E41A5F">
        <w:rPr>
          <w:szCs w:val="24"/>
        </w:rPr>
        <w:t>,</w:t>
      </w:r>
      <w:r w:rsidRPr="00464422">
        <w:rPr>
          <w:szCs w:val="24"/>
        </w:rPr>
        <w:t xml:space="preserve"> segundo K</w:t>
      </w:r>
      <w:r w:rsidR="001C37ED" w:rsidRPr="00464422">
        <w:rPr>
          <w:szCs w:val="24"/>
        </w:rPr>
        <w:t>ubitza</w:t>
      </w:r>
      <w:r w:rsidRPr="00464422">
        <w:rPr>
          <w:szCs w:val="24"/>
        </w:rPr>
        <w:t xml:space="preserve"> (2007). A </w:t>
      </w:r>
      <w:r w:rsidR="00E41A5F">
        <w:rPr>
          <w:szCs w:val="24"/>
        </w:rPr>
        <w:t>pequena</w:t>
      </w:r>
      <w:r w:rsidRPr="00464422">
        <w:rPr>
          <w:szCs w:val="24"/>
        </w:rPr>
        <w:t xml:space="preserve"> variação nos parâmetros indica que as condições foram </w:t>
      </w:r>
      <w:r w:rsidR="00E41A5F" w:rsidRPr="00464422">
        <w:rPr>
          <w:szCs w:val="24"/>
        </w:rPr>
        <w:t>apropriadas</w:t>
      </w:r>
      <w:r w:rsidRPr="00464422">
        <w:rPr>
          <w:szCs w:val="24"/>
        </w:rPr>
        <w:t xml:space="preserve"> e homogêneas em todas as unidades experimentais. A</w:t>
      </w:r>
      <w:r w:rsidR="00E41A5F">
        <w:rPr>
          <w:szCs w:val="24"/>
        </w:rPr>
        <w:t xml:space="preserve"> alta taxa de renovação de água foi um fator que contribuiu para isto, evitando </w:t>
      </w:r>
      <w:r w:rsidRPr="00464422">
        <w:rPr>
          <w:szCs w:val="24"/>
        </w:rPr>
        <w:t xml:space="preserve">o acúmulo de elevadas concentrações de amônia e nitrito e manteve o oxigênio dissolvido (OD) em níveis ideais. </w:t>
      </w:r>
      <w:r w:rsidR="00E41A5F" w:rsidRPr="00464422">
        <w:rPr>
          <w:szCs w:val="24"/>
        </w:rPr>
        <w:t>Contudo</w:t>
      </w:r>
      <w:r w:rsidRPr="00464422">
        <w:rPr>
          <w:szCs w:val="24"/>
        </w:rPr>
        <w:t xml:space="preserve">, </w:t>
      </w:r>
      <w:r w:rsidR="00E41A5F">
        <w:rPr>
          <w:szCs w:val="24"/>
        </w:rPr>
        <w:t>a renovação de água contribui para redução da temperatura da água, e as</w:t>
      </w:r>
      <w:r w:rsidRPr="00464422">
        <w:rPr>
          <w:szCs w:val="24"/>
        </w:rPr>
        <w:t xml:space="preserve"> baixas temperaturas fizeram com que o crescimento fosse reduzido no período do experimento, pois de acordo com K</w:t>
      </w:r>
      <w:r w:rsidR="001C37ED" w:rsidRPr="00464422">
        <w:rPr>
          <w:szCs w:val="24"/>
        </w:rPr>
        <w:t>ubitza</w:t>
      </w:r>
      <w:r w:rsidRPr="00464422">
        <w:rPr>
          <w:szCs w:val="24"/>
        </w:rPr>
        <w:t xml:space="preserve"> (2000) a tilápia (</w:t>
      </w:r>
      <w:r w:rsidRPr="00464422">
        <w:rPr>
          <w:i/>
          <w:szCs w:val="24"/>
        </w:rPr>
        <w:t>Oreochromis niloticus</w:t>
      </w:r>
      <w:r w:rsidRPr="00464422">
        <w:rPr>
          <w:szCs w:val="24"/>
        </w:rPr>
        <w:t>), por ser um peixe tropical, possui uma variação sazonal de crescimento (peso e comprimento), tendendo a diminuir e até parar o crescimento durante o inverno de baixas temperaturas (inferiores à 18ºC).</w:t>
      </w:r>
    </w:p>
    <w:p w14:paraId="2628A0F8" w14:textId="77777777" w:rsidR="00464422" w:rsidRPr="00464422" w:rsidRDefault="00464422" w:rsidP="001C37ED">
      <w:pPr>
        <w:spacing w:line="240" w:lineRule="auto"/>
        <w:jc w:val="both"/>
        <w:rPr>
          <w:szCs w:val="24"/>
        </w:rPr>
      </w:pPr>
      <w:r w:rsidRPr="00464422">
        <w:rPr>
          <w:b/>
          <w:szCs w:val="24"/>
        </w:rPr>
        <w:lastRenderedPageBreak/>
        <w:t>Tabela 1:</w:t>
      </w:r>
      <w:r w:rsidRPr="00464422">
        <w:rPr>
          <w:szCs w:val="24"/>
        </w:rPr>
        <w:t xml:space="preserve"> Média e desvio padrão das variáveis físicas e químicas observadas nos cultivos referentes aos tratamentos de classes de tamanho: Pequeno (4,80±0,44 cm), médio (5,60±0,12 cm) e grande (6,17±0,20 cm), durante o período de 16 de abril de 2015 a 23 de julho de 2015.</w:t>
      </w:r>
    </w:p>
    <w:tbl>
      <w:tblPr>
        <w:tblW w:w="0" w:type="auto"/>
        <w:tblBorders>
          <w:top w:val="single" w:sz="8" w:space="0" w:color="4F81BD"/>
          <w:bottom w:val="single" w:sz="8" w:space="0" w:color="4F81BD"/>
        </w:tblBorders>
        <w:tblLook w:val="04A0" w:firstRow="1" w:lastRow="0" w:firstColumn="1" w:lastColumn="0" w:noHBand="0" w:noVBand="1"/>
      </w:tblPr>
      <w:tblGrid>
        <w:gridCol w:w="2518"/>
        <w:gridCol w:w="2410"/>
        <w:gridCol w:w="2410"/>
        <w:gridCol w:w="2409"/>
      </w:tblGrid>
      <w:tr w:rsidR="00464422" w:rsidRPr="00464422" w14:paraId="65E95BEC" w14:textId="77777777" w:rsidTr="001C37ED">
        <w:trPr>
          <w:trHeight w:val="354"/>
        </w:trPr>
        <w:tc>
          <w:tcPr>
            <w:tcW w:w="2518" w:type="dxa"/>
            <w:tcBorders>
              <w:top w:val="single" w:sz="8" w:space="0" w:color="auto"/>
              <w:bottom w:val="nil"/>
            </w:tcBorders>
            <w:shd w:val="clear" w:color="auto" w:fill="auto"/>
          </w:tcPr>
          <w:p w14:paraId="7FB42055" w14:textId="77777777" w:rsidR="00464422" w:rsidRPr="00464422" w:rsidRDefault="00464422" w:rsidP="001C37ED">
            <w:pPr>
              <w:spacing w:after="0" w:line="240" w:lineRule="auto"/>
              <w:ind w:firstLine="567"/>
              <w:rPr>
                <w:color w:val="000000"/>
                <w:szCs w:val="24"/>
              </w:rPr>
            </w:pPr>
          </w:p>
        </w:tc>
        <w:tc>
          <w:tcPr>
            <w:tcW w:w="7229" w:type="dxa"/>
            <w:gridSpan w:val="3"/>
            <w:tcBorders>
              <w:top w:val="single" w:sz="8" w:space="0" w:color="auto"/>
              <w:bottom w:val="single" w:sz="4" w:space="0" w:color="auto"/>
            </w:tcBorders>
            <w:shd w:val="clear" w:color="auto" w:fill="auto"/>
          </w:tcPr>
          <w:p w14:paraId="3C495FB4" w14:textId="77777777" w:rsidR="00464422" w:rsidRPr="00464422" w:rsidRDefault="00464422" w:rsidP="001C37ED">
            <w:pPr>
              <w:spacing w:after="0" w:line="240" w:lineRule="auto"/>
              <w:ind w:firstLine="567"/>
              <w:jc w:val="center"/>
              <w:rPr>
                <w:b/>
                <w:color w:val="000000"/>
                <w:szCs w:val="24"/>
              </w:rPr>
            </w:pPr>
            <w:r w:rsidRPr="00464422">
              <w:rPr>
                <w:color w:val="000000"/>
                <w:szCs w:val="24"/>
              </w:rPr>
              <w:t>Tratamento</w:t>
            </w:r>
            <w:r w:rsidRPr="00464422" w:rsidDel="00A864E9">
              <w:rPr>
                <w:color w:val="000000"/>
                <w:szCs w:val="24"/>
              </w:rPr>
              <w:t xml:space="preserve"> </w:t>
            </w:r>
          </w:p>
        </w:tc>
      </w:tr>
      <w:tr w:rsidR="00464422" w:rsidRPr="00464422" w14:paraId="2729FA98" w14:textId="77777777" w:rsidTr="001C37ED">
        <w:trPr>
          <w:trHeight w:val="111"/>
        </w:trPr>
        <w:tc>
          <w:tcPr>
            <w:tcW w:w="2518" w:type="dxa"/>
            <w:tcBorders>
              <w:top w:val="nil"/>
              <w:bottom w:val="single" w:sz="4" w:space="0" w:color="auto"/>
            </w:tcBorders>
            <w:shd w:val="clear" w:color="auto" w:fill="auto"/>
          </w:tcPr>
          <w:p w14:paraId="44785D47" w14:textId="77777777" w:rsidR="00464422" w:rsidRPr="00464422" w:rsidRDefault="00464422" w:rsidP="001C37ED">
            <w:pPr>
              <w:spacing w:after="0" w:line="240" w:lineRule="auto"/>
              <w:ind w:firstLine="567"/>
              <w:rPr>
                <w:color w:val="000000"/>
                <w:szCs w:val="24"/>
              </w:rPr>
            </w:pPr>
            <w:r w:rsidRPr="00464422">
              <w:rPr>
                <w:color w:val="000000"/>
                <w:szCs w:val="24"/>
              </w:rPr>
              <w:t>Variáveis</w:t>
            </w:r>
          </w:p>
        </w:tc>
        <w:tc>
          <w:tcPr>
            <w:tcW w:w="2410" w:type="dxa"/>
            <w:tcBorders>
              <w:top w:val="single" w:sz="8" w:space="0" w:color="auto"/>
              <w:bottom w:val="single" w:sz="4" w:space="0" w:color="auto"/>
            </w:tcBorders>
            <w:shd w:val="clear" w:color="auto" w:fill="auto"/>
          </w:tcPr>
          <w:p w14:paraId="589F3FE3" w14:textId="77777777" w:rsidR="00464422" w:rsidRPr="00464422" w:rsidRDefault="00464422" w:rsidP="001C37ED">
            <w:pPr>
              <w:spacing w:after="0" w:line="240" w:lineRule="auto"/>
              <w:ind w:firstLine="567"/>
              <w:jc w:val="center"/>
              <w:rPr>
                <w:b/>
                <w:color w:val="000000"/>
                <w:szCs w:val="24"/>
              </w:rPr>
            </w:pPr>
            <w:r w:rsidRPr="00464422">
              <w:rPr>
                <w:b/>
                <w:color w:val="000000"/>
                <w:szCs w:val="24"/>
              </w:rPr>
              <w:t>Pequeno</w:t>
            </w:r>
          </w:p>
        </w:tc>
        <w:tc>
          <w:tcPr>
            <w:tcW w:w="2410" w:type="dxa"/>
            <w:tcBorders>
              <w:top w:val="single" w:sz="8" w:space="0" w:color="auto"/>
              <w:bottom w:val="single" w:sz="4" w:space="0" w:color="auto"/>
            </w:tcBorders>
            <w:shd w:val="clear" w:color="auto" w:fill="auto"/>
          </w:tcPr>
          <w:p w14:paraId="7062D229" w14:textId="77777777" w:rsidR="00464422" w:rsidRPr="00464422" w:rsidRDefault="00464422" w:rsidP="001C37ED">
            <w:pPr>
              <w:spacing w:after="0" w:line="240" w:lineRule="auto"/>
              <w:ind w:firstLine="567"/>
              <w:jc w:val="center"/>
              <w:rPr>
                <w:b/>
                <w:color w:val="000000"/>
                <w:szCs w:val="24"/>
              </w:rPr>
            </w:pPr>
            <w:r w:rsidRPr="00464422">
              <w:rPr>
                <w:b/>
                <w:color w:val="000000"/>
                <w:szCs w:val="24"/>
              </w:rPr>
              <w:t>Médio</w:t>
            </w:r>
          </w:p>
        </w:tc>
        <w:tc>
          <w:tcPr>
            <w:tcW w:w="2409" w:type="dxa"/>
            <w:tcBorders>
              <w:top w:val="single" w:sz="8" w:space="0" w:color="auto"/>
              <w:bottom w:val="single" w:sz="4" w:space="0" w:color="auto"/>
            </w:tcBorders>
            <w:shd w:val="clear" w:color="auto" w:fill="auto"/>
          </w:tcPr>
          <w:p w14:paraId="1A2561E9" w14:textId="77777777" w:rsidR="00464422" w:rsidRPr="00464422" w:rsidRDefault="00464422" w:rsidP="001C37ED">
            <w:pPr>
              <w:spacing w:after="0" w:line="240" w:lineRule="auto"/>
              <w:ind w:firstLine="567"/>
              <w:jc w:val="center"/>
              <w:rPr>
                <w:b/>
                <w:color w:val="000000"/>
                <w:szCs w:val="24"/>
              </w:rPr>
            </w:pPr>
            <w:r w:rsidRPr="00464422">
              <w:rPr>
                <w:b/>
                <w:color w:val="000000"/>
                <w:szCs w:val="24"/>
              </w:rPr>
              <w:t>Grande</w:t>
            </w:r>
          </w:p>
        </w:tc>
      </w:tr>
      <w:tr w:rsidR="00464422" w:rsidRPr="00464422" w14:paraId="71DE5968" w14:textId="77777777" w:rsidTr="001C37ED">
        <w:tc>
          <w:tcPr>
            <w:tcW w:w="2518" w:type="dxa"/>
            <w:tcBorders>
              <w:top w:val="single" w:sz="4" w:space="0" w:color="auto"/>
            </w:tcBorders>
            <w:shd w:val="clear" w:color="auto" w:fill="auto"/>
          </w:tcPr>
          <w:p w14:paraId="107F4F9F" w14:textId="77777777" w:rsidR="00464422" w:rsidRPr="00464422" w:rsidRDefault="00464422" w:rsidP="001C37ED">
            <w:pPr>
              <w:spacing w:after="0" w:line="240" w:lineRule="auto"/>
              <w:ind w:firstLine="567"/>
              <w:rPr>
                <w:color w:val="000000"/>
                <w:szCs w:val="24"/>
              </w:rPr>
            </w:pPr>
            <w:r w:rsidRPr="00464422">
              <w:rPr>
                <w:color w:val="000000"/>
                <w:szCs w:val="24"/>
              </w:rPr>
              <w:t>Temperatura (ºC)</w:t>
            </w:r>
          </w:p>
        </w:tc>
        <w:tc>
          <w:tcPr>
            <w:tcW w:w="2410" w:type="dxa"/>
            <w:tcBorders>
              <w:top w:val="single" w:sz="4" w:space="0" w:color="auto"/>
            </w:tcBorders>
            <w:shd w:val="clear" w:color="auto" w:fill="auto"/>
          </w:tcPr>
          <w:p w14:paraId="7F1E354A" w14:textId="77777777" w:rsidR="00464422" w:rsidRPr="00464422" w:rsidRDefault="00464422" w:rsidP="001C37ED">
            <w:pPr>
              <w:spacing w:after="0" w:line="240" w:lineRule="auto"/>
              <w:ind w:firstLine="567"/>
              <w:jc w:val="center"/>
              <w:rPr>
                <w:color w:val="000000"/>
                <w:szCs w:val="24"/>
              </w:rPr>
            </w:pPr>
            <w:r w:rsidRPr="00464422">
              <w:rPr>
                <w:color w:val="000000"/>
                <w:szCs w:val="24"/>
              </w:rPr>
              <w:t>18,12±0,91</w:t>
            </w:r>
          </w:p>
        </w:tc>
        <w:tc>
          <w:tcPr>
            <w:tcW w:w="2410" w:type="dxa"/>
            <w:tcBorders>
              <w:top w:val="single" w:sz="4" w:space="0" w:color="auto"/>
            </w:tcBorders>
            <w:shd w:val="clear" w:color="auto" w:fill="auto"/>
          </w:tcPr>
          <w:p w14:paraId="44EF505E" w14:textId="77777777" w:rsidR="00464422" w:rsidRPr="00464422" w:rsidRDefault="00464422" w:rsidP="001C37ED">
            <w:pPr>
              <w:spacing w:after="0" w:line="240" w:lineRule="auto"/>
              <w:ind w:firstLine="567"/>
              <w:jc w:val="center"/>
              <w:rPr>
                <w:color w:val="000000"/>
                <w:szCs w:val="24"/>
              </w:rPr>
            </w:pPr>
            <w:r w:rsidRPr="00464422">
              <w:rPr>
                <w:color w:val="000000"/>
                <w:szCs w:val="24"/>
              </w:rPr>
              <w:t>18,24±0,92</w:t>
            </w:r>
          </w:p>
        </w:tc>
        <w:tc>
          <w:tcPr>
            <w:tcW w:w="2409" w:type="dxa"/>
            <w:tcBorders>
              <w:top w:val="single" w:sz="4" w:space="0" w:color="auto"/>
            </w:tcBorders>
            <w:shd w:val="clear" w:color="auto" w:fill="auto"/>
          </w:tcPr>
          <w:p w14:paraId="2BEB02FC" w14:textId="77777777" w:rsidR="00464422" w:rsidRPr="00464422" w:rsidRDefault="00464422" w:rsidP="001C37ED">
            <w:pPr>
              <w:spacing w:after="0" w:line="240" w:lineRule="auto"/>
              <w:ind w:firstLine="567"/>
              <w:jc w:val="center"/>
              <w:rPr>
                <w:color w:val="000000"/>
                <w:szCs w:val="24"/>
              </w:rPr>
            </w:pPr>
            <w:r w:rsidRPr="00464422">
              <w:rPr>
                <w:color w:val="000000"/>
                <w:szCs w:val="24"/>
              </w:rPr>
              <w:t>18,12±0,82</w:t>
            </w:r>
          </w:p>
        </w:tc>
      </w:tr>
      <w:tr w:rsidR="00464422" w:rsidRPr="00464422" w14:paraId="2D05583A" w14:textId="77777777" w:rsidTr="001C37ED">
        <w:tc>
          <w:tcPr>
            <w:tcW w:w="2518" w:type="dxa"/>
            <w:shd w:val="clear" w:color="auto" w:fill="auto"/>
          </w:tcPr>
          <w:p w14:paraId="7A18DF24" w14:textId="77777777" w:rsidR="00464422" w:rsidRPr="00464422" w:rsidRDefault="00464422" w:rsidP="001C37ED">
            <w:pPr>
              <w:spacing w:after="0" w:line="240" w:lineRule="auto"/>
              <w:ind w:firstLine="567"/>
              <w:rPr>
                <w:color w:val="000000"/>
                <w:szCs w:val="24"/>
              </w:rPr>
            </w:pPr>
            <w:r w:rsidRPr="00464422">
              <w:rPr>
                <w:color w:val="000000"/>
                <w:szCs w:val="24"/>
              </w:rPr>
              <w:t>OD (mg/L)</w:t>
            </w:r>
          </w:p>
        </w:tc>
        <w:tc>
          <w:tcPr>
            <w:tcW w:w="2410" w:type="dxa"/>
            <w:shd w:val="clear" w:color="auto" w:fill="auto"/>
          </w:tcPr>
          <w:p w14:paraId="27356BBB" w14:textId="77777777" w:rsidR="00464422" w:rsidRPr="00464422" w:rsidRDefault="00464422" w:rsidP="001C37ED">
            <w:pPr>
              <w:spacing w:after="0" w:line="240" w:lineRule="auto"/>
              <w:ind w:firstLine="567"/>
              <w:jc w:val="center"/>
              <w:rPr>
                <w:color w:val="000000"/>
                <w:szCs w:val="24"/>
              </w:rPr>
            </w:pPr>
            <w:r w:rsidRPr="00464422">
              <w:rPr>
                <w:color w:val="000000"/>
                <w:szCs w:val="24"/>
              </w:rPr>
              <w:t>7,48±1,05</w:t>
            </w:r>
          </w:p>
        </w:tc>
        <w:tc>
          <w:tcPr>
            <w:tcW w:w="2410" w:type="dxa"/>
            <w:shd w:val="clear" w:color="auto" w:fill="auto"/>
          </w:tcPr>
          <w:p w14:paraId="47729DF4" w14:textId="77777777" w:rsidR="00464422" w:rsidRPr="00464422" w:rsidRDefault="00464422" w:rsidP="001C37ED">
            <w:pPr>
              <w:spacing w:after="0" w:line="240" w:lineRule="auto"/>
              <w:ind w:firstLine="567"/>
              <w:jc w:val="center"/>
              <w:rPr>
                <w:color w:val="000000"/>
                <w:szCs w:val="24"/>
              </w:rPr>
            </w:pPr>
            <w:r w:rsidRPr="00464422">
              <w:rPr>
                <w:color w:val="000000"/>
                <w:szCs w:val="24"/>
              </w:rPr>
              <w:t>7,76±0,90</w:t>
            </w:r>
          </w:p>
        </w:tc>
        <w:tc>
          <w:tcPr>
            <w:tcW w:w="2409" w:type="dxa"/>
            <w:shd w:val="clear" w:color="auto" w:fill="auto"/>
          </w:tcPr>
          <w:p w14:paraId="13227C40" w14:textId="77777777" w:rsidR="00464422" w:rsidRPr="00464422" w:rsidRDefault="00464422" w:rsidP="001C37ED">
            <w:pPr>
              <w:spacing w:after="0" w:line="240" w:lineRule="auto"/>
              <w:ind w:firstLine="567"/>
              <w:jc w:val="center"/>
              <w:rPr>
                <w:color w:val="000000"/>
                <w:szCs w:val="24"/>
              </w:rPr>
            </w:pPr>
            <w:r w:rsidRPr="00464422">
              <w:rPr>
                <w:color w:val="000000"/>
                <w:szCs w:val="24"/>
              </w:rPr>
              <w:t>7,61±1,17</w:t>
            </w:r>
          </w:p>
        </w:tc>
      </w:tr>
      <w:tr w:rsidR="00464422" w:rsidRPr="00464422" w14:paraId="4B671154" w14:textId="77777777" w:rsidTr="001C37ED">
        <w:tc>
          <w:tcPr>
            <w:tcW w:w="2518" w:type="dxa"/>
            <w:shd w:val="clear" w:color="auto" w:fill="auto"/>
          </w:tcPr>
          <w:p w14:paraId="41166CA8" w14:textId="77777777" w:rsidR="00464422" w:rsidRPr="00464422" w:rsidRDefault="00464422" w:rsidP="001C37ED">
            <w:pPr>
              <w:spacing w:after="0" w:line="240" w:lineRule="auto"/>
              <w:ind w:firstLine="567"/>
              <w:rPr>
                <w:color w:val="000000"/>
                <w:szCs w:val="24"/>
              </w:rPr>
            </w:pPr>
            <w:r w:rsidRPr="00464422">
              <w:rPr>
                <w:color w:val="000000"/>
                <w:szCs w:val="24"/>
              </w:rPr>
              <w:t>pH</w:t>
            </w:r>
          </w:p>
        </w:tc>
        <w:tc>
          <w:tcPr>
            <w:tcW w:w="2410" w:type="dxa"/>
            <w:shd w:val="clear" w:color="auto" w:fill="auto"/>
          </w:tcPr>
          <w:p w14:paraId="14533CBB" w14:textId="77777777" w:rsidR="00464422" w:rsidRPr="00464422" w:rsidRDefault="00464422" w:rsidP="001C37ED">
            <w:pPr>
              <w:spacing w:after="0" w:line="240" w:lineRule="auto"/>
              <w:ind w:firstLine="567"/>
              <w:jc w:val="center"/>
              <w:rPr>
                <w:color w:val="000000"/>
                <w:szCs w:val="24"/>
              </w:rPr>
            </w:pPr>
            <w:r w:rsidRPr="00464422">
              <w:rPr>
                <w:color w:val="000000"/>
                <w:szCs w:val="24"/>
              </w:rPr>
              <w:t>6,90±0,14</w:t>
            </w:r>
          </w:p>
        </w:tc>
        <w:tc>
          <w:tcPr>
            <w:tcW w:w="2410" w:type="dxa"/>
            <w:shd w:val="clear" w:color="auto" w:fill="auto"/>
          </w:tcPr>
          <w:p w14:paraId="584D814A" w14:textId="77777777" w:rsidR="00464422" w:rsidRPr="00464422" w:rsidRDefault="00464422" w:rsidP="001C37ED">
            <w:pPr>
              <w:spacing w:after="0" w:line="240" w:lineRule="auto"/>
              <w:ind w:firstLine="567"/>
              <w:jc w:val="center"/>
              <w:rPr>
                <w:color w:val="000000"/>
                <w:szCs w:val="24"/>
              </w:rPr>
            </w:pPr>
            <w:r w:rsidRPr="00464422">
              <w:rPr>
                <w:color w:val="000000"/>
                <w:szCs w:val="24"/>
              </w:rPr>
              <w:t>6,97±0,21</w:t>
            </w:r>
          </w:p>
        </w:tc>
        <w:tc>
          <w:tcPr>
            <w:tcW w:w="2409" w:type="dxa"/>
            <w:shd w:val="clear" w:color="auto" w:fill="auto"/>
          </w:tcPr>
          <w:p w14:paraId="3065C5EE" w14:textId="77777777" w:rsidR="00464422" w:rsidRPr="00464422" w:rsidRDefault="00464422" w:rsidP="001C37ED">
            <w:pPr>
              <w:spacing w:after="0" w:line="240" w:lineRule="auto"/>
              <w:ind w:firstLine="567"/>
              <w:jc w:val="center"/>
              <w:rPr>
                <w:color w:val="000000"/>
                <w:szCs w:val="24"/>
              </w:rPr>
            </w:pPr>
            <w:r w:rsidRPr="00464422">
              <w:rPr>
                <w:color w:val="000000"/>
                <w:szCs w:val="24"/>
              </w:rPr>
              <w:t>7,03±0,22</w:t>
            </w:r>
          </w:p>
        </w:tc>
      </w:tr>
      <w:tr w:rsidR="00464422" w:rsidRPr="00464422" w14:paraId="69995F3F" w14:textId="77777777" w:rsidTr="001C37ED">
        <w:tc>
          <w:tcPr>
            <w:tcW w:w="2518" w:type="dxa"/>
            <w:shd w:val="clear" w:color="auto" w:fill="auto"/>
          </w:tcPr>
          <w:p w14:paraId="4C10A380" w14:textId="77777777" w:rsidR="00464422" w:rsidRPr="00464422" w:rsidRDefault="00464422" w:rsidP="001C37ED">
            <w:pPr>
              <w:spacing w:after="0" w:line="240" w:lineRule="auto"/>
              <w:ind w:firstLine="567"/>
              <w:rPr>
                <w:color w:val="000000"/>
                <w:szCs w:val="24"/>
              </w:rPr>
            </w:pPr>
            <w:r w:rsidRPr="00464422">
              <w:rPr>
                <w:color w:val="000000"/>
                <w:szCs w:val="24"/>
              </w:rPr>
              <w:t>Amônia (mg/L)</w:t>
            </w:r>
          </w:p>
        </w:tc>
        <w:tc>
          <w:tcPr>
            <w:tcW w:w="2410" w:type="dxa"/>
            <w:shd w:val="clear" w:color="auto" w:fill="auto"/>
          </w:tcPr>
          <w:p w14:paraId="355D3320" w14:textId="77777777" w:rsidR="00464422" w:rsidRPr="00464422" w:rsidRDefault="00464422" w:rsidP="001C37ED">
            <w:pPr>
              <w:spacing w:after="0" w:line="240" w:lineRule="auto"/>
              <w:ind w:firstLine="567"/>
              <w:jc w:val="center"/>
              <w:rPr>
                <w:color w:val="000000"/>
                <w:szCs w:val="24"/>
              </w:rPr>
            </w:pPr>
            <w:r w:rsidRPr="00464422">
              <w:rPr>
                <w:color w:val="000000"/>
                <w:szCs w:val="24"/>
              </w:rPr>
              <w:t>0,0012±0,00024</w:t>
            </w:r>
          </w:p>
        </w:tc>
        <w:tc>
          <w:tcPr>
            <w:tcW w:w="2410" w:type="dxa"/>
            <w:shd w:val="clear" w:color="auto" w:fill="auto"/>
          </w:tcPr>
          <w:p w14:paraId="537F335B" w14:textId="77777777" w:rsidR="00464422" w:rsidRPr="00464422" w:rsidRDefault="00464422" w:rsidP="001C37ED">
            <w:pPr>
              <w:spacing w:after="0" w:line="240" w:lineRule="auto"/>
              <w:ind w:firstLine="567"/>
              <w:jc w:val="center"/>
              <w:rPr>
                <w:color w:val="000000"/>
                <w:szCs w:val="24"/>
              </w:rPr>
            </w:pPr>
            <w:r w:rsidRPr="00464422">
              <w:rPr>
                <w:color w:val="000000"/>
                <w:szCs w:val="24"/>
              </w:rPr>
              <w:t>0,0017±0,00062</w:t>
            </w:r>
          </w:p>
        </w:tc>
        <w:tc>
          <w:tcPr>
            <w:tcW w:w="2409" w:type="dxa"/>
            <w:shd w:val="clear" w:color="auto" w:fill="auto"/>
          </w:tcPr>
          <w:p w14:paraId="51E21701" w14:textId="77777777" w:rsidR="00464422" w:rsidRPr="00464422" w:rsidRDefault="00464422" w:rsidP="001C37ED">
            <w:pPr>
              <w:spacing w:after="0" w:line="240" w:lineRule="auto"/>
              <w:ind w:firstLine="567"/>
              <w:jc w:val="center"/>
              <w:rPr>
                <w:color w:val="000000"/>
                <w:szCs w:val="24"/>
              </w:rPr>
            </w:pPr>
            <w:r w:rsidRPr="00464422">
              <w:rPr>
                <w:color w:val="000000"/>
                <w:szCs w:val="24"/>
              </w:rPr>
              <w:t>0,0016±0,00064</w:t>
            </w:r>
          </w:p>
        </w:tc>
      </w:tr>
      <w:tr w:rsidR="00464422" w:rsidRPr="00464422" w14:paraId="3639B118" w14:textId="77777777" w:rsidTr="001C37ED">
        <w:tc>
          <w:tcPr>
            <w:tcW w:w="2518" w:type="dxa"/>
            <w:tcBorders>
              <w:bottom w:val="single" w:sz="8" w:space="0" w:color="auto"/>
            </w:tcBorders>
            <w:shd w:val="clear" w:color="auto" w:fill="auto"/>
          </w:tcPr>
          <w:p w14:paraId="3BE7E494" w14:textId="77777777" w:rsidR="00464422" w:rsidRPr="00464422" w:rsidRDefault="00464422" w:rsidP="001C37ED">
            <w:pPr>
              <w:spacing w:after="0" w:line="240" w:lineRule="auto"/>
              <w:ind w:firstLine="567"/>
              <w:rPr>
                <w:color w:val="000000"/>
                <w:szCs w:val="24"/>
              </w:rPr>
            </w:pPr>
            <w:r w:rsidRPr="00464422">
              <w:rPr>
                <w:color w:val="000000"/>
                <w:szCs w:val="24"/>
              </w:rPr>
              <w:t>Nitrito (mg/L)</w:t>
            </w:r>
          </w:p>
        </w:tc>
        <w:tc>
          <w:tcPr>
            <w:tcW w:w="2410" w:type="dxa"/>
            <w:tcBorders>
              <w:bottom w:val="single" w:sz="8" w:space="0" w:color="auto"/>
            </w:tcBorders>
            <w:shd w:val="clear" w:color="auto" w:fill="auto"/>
          </w:tcPr>
          <w:p w14:paraId="4A38E2CC" w14:textId="77777777" w:rsidR="00464422" w:rsidRPr="00464422" w:rsidRDefault="00464422" w:rsidP="001C37ED">
            <w:pPr>
              <w:spacing w:after="0" w:line="240" w:lineRule="auto"/>
              <w:ind w:firstLine="567"/>
              <w:jc w:val="center"/>
              <w:rPr>
                <w:color w:val="000000"/>
                <w:szCs w:val="24"/>
              </w:rPr>
            </w:pPr>
            <w:r w:rsidRPr="00464422">
              <w:rPr>
                <w:color w:val="000000"/>
                <w:szCs w:val="24"/>
              </w:rPr>
              <w:t>Não detectado</w:t>
            </w:r>
          </w:p>
        </w:tc>
        <w:tc>
          <w:tcPr>
            <w:tcW w:w="2410" w:type="dxa"/>
            <w:tcBorders>
              <w:bottom w:val="single" w:sz="8" w:space="0" w:color="auto"/>
            </w:tcBorders>
            <w:shd w:val="clear" w:color="auto" w:fill="auto"/>
          </w:tcPr>
          <w:p w14:paraId="03618E92" w14:textId="77777777" w:rsidR="00464422" w:rsidRPr="00464422" w:rsidRDefault="00464422" w:rsidP="001C37ED">
            <w:pPr>
              <w:spacing w:after="0" w:line="240" w:lineRule="auto"/>
              <w:ind w:firstLine="567"/>
              <w:jc w:val="center"/>
              <w:rPr>
                <w:color w:val="000000"/>
                <w:szCs w:val="24"/>
              </w:rPr>
            </w:pPr>
            <w:r w:rsidRPr="00464422">
              <w:rPr>
                <w:color w:val="000000"/>
                <w:szCs w:val="24"/>
              </w:rPr>
              <w:t>0,0125 ±0,025</w:t>
            </w:r>
          </w:p>
        </w:tc>
        <w:tc>
          <w:tcPr>
            <w:tcW w:w="2409" w:type="dxa"/>
            <w:tcBorders>
              <w:bottom w:val="single" w:sz="8" w:space="0" w:color="auto"/>
            </w:tcBorders>
            <w:shd w:val="clear" w:color="auto" w:fill="auto"/>
          </w:tcPr>
          <w:p w14:paraId="50A71E13" w14:textId="77777777" w:rsidR="00464422" w:rsidRPr="00464422" w:rsidRDefault="00464422" w:rsidP="001C37ED">
            <w:pPr>
              <w:spacing w:after="0" w:line="240" w:lineRule="auto"/>
              <w:ind w:firstLine="567"/>
              <w:jc w:val="center"/>
              <w:rPr>
                <w:color w:val="000000"/>
                <w:szCs w:val="24"/>
              </w:rPr>
            </w:pPr>
            <w:r w:rsidRPr="00464422">
              <w:rPr>
                <w:color w:val="000000"/>
                <w:szCs w:val="24"/>
              </w:rPr>
              <w:t>Não detectado</w:t>
            </w:r>
          </w:p>
        </w:tc>
      </w:tr>
    </w:tbl>
    <w:p w14:paraId="5E4BB8AA" w14:textId="77777777" w:rsidR="001C37ED" w:rsidRDefault="001C37ED" w:rsidP="001C37ED">
      <w:pPr>
        <w:spacing w:line="240" w:lineRule="auto"/>
        <w:ind w:firstLine="567"/>
        <w:jc w:val="both"/>
        <w:rPr>
          <w:szCs w:val="24"/>
        </w:rPr>
      </w:pPr>
    </w:p>
    <w:p w14:paraId="19F82E86" w14:textId="77777777" w:rsidR="00464422" w:rsidRPr="00464422" w:rsidRDefault="00464422" w:rsidP="00755190">
      <w:pPr>
        <w:spacing w:line="240" w:lineRule="auto"/>
        <w:ind w:firstLine="567"/>
        <w:jc w:val="both"/>
        <w:rPr>
          <w:szCs w:val="24"/>
        </w:rPr>
      </w:pPr>
      <w:r w:rsidRPr="00464422">
        <w:rPr>
          <w:szCs w:val="24"/>
        </w:rPr>
        <w:t>Em relação as biometrias, tanto o c</w:t>
      </w:r>
      <w:r w:rsidR="00755190">
        <w:rPr>
          <w:szCs w:val="24"/>
        </w:rPr>
        <w:t>omprimento padrão (Ls; Figura 1</w:t>
      </w:r>
      <w:r w:rsidRPr="00464422">
        <w:rPr>
          <w:szCs w:val="24"/>
        </w:rPr>
        <w:t>), quanto a b</w:t>
      </w:r>
      <w:r w:rsidR="00755190">
        <w:rPr>
          <w:szCs w:val="24"/>
        </w:rPr>
        <w:t>iomassa individual (Wt; Figura 2</w:t>
      </w:r>
      <w:r w:rsidRPr="00464422">
        <w:rPr>
          <w:szCs w:val="24"/>
        </w:rPr>
        <w:t>) indicaram que os peixes cresceram em proporções similares, pois não houveram efeitos interativos</w:t>
      </w:r>
      <w:r w:rsidRPr="00464422">
        <w:rPr>
          <w:b/>
          <w:color w:val="FF0000"/>
          <w:szCs w:val="24"/>
        </w:rPr>
        <w:t xml:space="preserve"> </w:t>
      </w:r>
      <w:r w:rsidRPr="00464422">
        <w:rPr>
          <w:szCs w:val="24"/>
        </w:rPr>
        <w:t>entre o tempo e o tratamento (RM-ANOVA, Ls: F</w:t>
      </w:r>
      <w:r w:rsidRPr="00464422">
        <w:rPr>
          <w:szCs w:val="24"/>
          <w:vertAlign w:val="subscript"/>
        </w:rPr>
        <w:t>(6, 33)</w:t>
      </w:r>
      <w:r w:rsidRPr="00464422">
        <w:rPr>
          <w:szCs w:val="24"/>
        </w:rPr>
        <w:t xml:space="preserve"> = 0,62, p = 0,71; Wt: F</w:t>
      </w:r>
      <w:r w:rsidRPr="00464422">
        <w:rPr>
          <w:szCs w:val="24"/>
          <w:vertAlign w:val="subscript"/>
        </w:rPr>
        <w:t>(6, 33)</w:t>
      </w:r>
      <w:r w:rsidRPr="00464422">
        <w:rPr>
          <w:szCs w:val="24"/>
        </w:rPr>
        <w:t xml:space="preserve"> = 0,68; p = 0,67), os indivíduos cresceram significativamente (RM-ANOVA, Tempo, Ls: F</w:t>
      </w:r>
      <w:r w:rsidRPr="00464422">
        <w:rPr>
          <w:szCs w:val="24"/>
          <w:vertAlign w:val="subscript"/>
        </w:rPr>
        <w:t>(3, 33)</w:t>
      </w:r>
      <w:r w:rsidRPr="00464422">
        <w:rPr>
          <w:szCs w:val="24"/>
        </w:rPr>
        <w:t xml:space="preserve"> = 213; p &lt; 0,0001; Wt: F</w:t>
      </w:r>
      <w:r w:rsidRPr="00464422">
        <w:rPr>
          <w:szCs w:val="24"/>
          <w:vertAlign w:val="subscript"/>
        </w:rPr>
        <w:t>(3, 33)</w:t>
      </w:r>
      <w:r w:rsidRPr="00464422">
        <w:rPr>
          <w:szCs w:val="24"/>
        </w:rPr>
        <w:t xml:space="preserve"> = 500; p &lt; 0,0001) e mantiveram as diferenças impostas no início do experimento (RM-ANOVA, Tratamento, Ls: F</w:t>
      </w:r>
      <w:r w:rsidRPr="00464422">
        <w:rPr>
          <w:szCs w:val="24"/>
          <w:vertAlign w:val="subscript"/>
        </w:rPr>
        <w:t>(2, 33)</w:t>
      </w:r>
      <w:r w:rsidRPr="00464422">
        <w:rPr>
          <w:szCs w:val="24"/>
        </w:rPr>
        <w:t xml:space="preserve"> = 9,11; p = 0,005; Wt: F</w:t>
      </w:r>
      <w:r w:rsidRPr="00464422">
        <w:rPr>
          <w:szCs w:val="24"/>
          <w:vertAlign w:val="subscript"/>
        </w:rPr>
        <w:t>(2, 33)</w:t>
      </w:r>
      <w:r w:rsidRPr="00464422">
        <w:rPr>
          <w:szCs w:val="24"/>
        </w:rPr>
        <w:t xml:space="preserve"> = 10,37; p = 0,005).</w:t>
      </w:r>
    </w:p>
    <w:p w14:paraId="611D7935" w14:textId="77777777" w:rsidR="00755190" w:rsidRDefault="00F2449B" w:rsidP="00755190">
      <w:pPr>
        <w:spacing w:line="240" w:lineRule="auto"/>
        <w:jc w:val="center"/>
        <w:rPr>
          <w:b/>
          <w:szCs w:val="24"/>
        </w:rPr>
      </w:pPr>
      <w:r>
        <w:rPr>
          <w:noProof/>
          <w:szCs w:val="24"/>
          <w:lang w:eastAsia="pt-BR"/>
        </w:rPr>
        <w:pict w14:anchorId="1F50D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340.5pt;height:254.25pt;visibility:visible;mso-wrap-style:square">
            <v:imagedata r:id="rId8" o:title=""/>
          </v:shape>
        </w:pict>
      </w:r>
    </w:p>
    <w:p w14:paraId="42BFDEBD" w14:textId="19B8A0BF" w:rsidR="00755190" w:rsidRPr="00464422" w:rsidRDefault="00755190" w:rsidP="00755190">
      <w:pPr>
        <w:spacing w:line="240" w:lineRule="auto"/>
        <w:jc w:val="both"/>
        <w:rPr>
          <w:szCs w:val="24"/>
        </w:rPr>
      </w:pPr>
      <w:r w:rsidRPr="00464422">
        <w:rPr>
          <w:b/>
          <w:szCs w:val="24"/>
        </w:rPr>
        <w:t xml:space="preserve">Figura 1: </w:t>
      </w:r>
      <w:r w:rsidRPr="00464422">
        <w:rPr>
          <w:szCs w:val="24"/>
        </w:rPr>
        <w:t>Médias e intervalo de 95% de confiança</w:t>
      </w:r>
      <w:r>
        <w:rPr>
          <w:szCs w:val="24"/>
        </w:rPr>
        <w:t xml:space="preserve"> para o comprimento padrão </w:t>
      </w:r>
      <w:r w:rsidR="00B0341C">
        <w:rPr>
          <w:szCs w:val="24"/>
        </w:rPr>
        <w:t>(</w:t>
      </w:r>
      <w:r w:rsidR="00135640">
        <w:rPr>
          <w:szCs w:val="24"/>
        </w:rPr>
        <w:t>Ls</w:t>
      </w:r>
      <w:r w:rsidRPr="00464422">
        <w:rPr>
          <w:szCs w:val="24"/>
        </w:rPr>
        <w:t>) observados nos tratamentos de classes de tamanho: Pequeno (4,80±0,44 cm), médio (5,60±0,12 cm) e grande (6,17±0,20 cm), nas quatro biometrias durante o período de 16 de abril de 2015 a 23 de julho de 2015</w:t>
      </w:r>
      <w:r w:rsidR="00135640">
        <w:rPr>
          <w:szCs w:val="24"/>
        </w:rPr>
        <w:t xml:space="preserve"> (LS1 a LS4 representam as quatro amostras temporais)</w:t>
      </w:r>
      <w:r w:rsidRPr="00464422">
        <w:rPr>
          <w:szCs w:val="24"/>
        </w:rPr>
        <w:t>.</w:t>
      </w:r>
    </w:p>
    <w:p w14:paraId="55D0D57F" w14:textId="77777777" w:rsidR="00755190" w:rsidRDefault="00755190" w:rsidP="001C37ED">
      <w:pPr>
        <w:spacing w:line="240" w:lineRule="auto"/>
        <w:jc w:val="center"/>
        <w:rPr>
          <w:noProof/>
          <w:szCs w:val="24"/>
          <w:lang w:eastAsia="pt-BR"/>
        </w:rPr>
      </w:pPr>
    </w:p>
    <w:p w14:paraId="479B4500" w14:textId="77777777" w:rsidR="00464422" w:rsidRPr="00464422" w:rsidRDefault="00F2449B" w:rsidP="001C37ED">
      <w:pPr>
        <w:spacing w:line="240" w:lineRule="auto"/>
        <w:jc w:val="center"/>
        <w:rPr>
          <w:b/>
          <w:szCs w:val="24"/>
        </w:rPr>
      </w:pPr>
      <w:r>
        <w:rPr>
          <w:noProof/>
          <w:szCs w:val="24"/>
          <w:lang w:eastAsia="pt-BR"/>
        </w:rPr>
        <w:lastRenderedPageBreak/>
        <w:pict w14:anchorId="7A99C6B3">
          <v:shape id="Imagem 3" o:spid="_x0000_i1026" type="#_x0000_t75" style="width:340.5pt;height:254.25pt;visibility:visible;mso-wrap-style:square">
            <v:imagedata r:id="rId9" o:title=""/>
          </v:shape>
        </w:pict>
      </w:r>
    </w:p>
    <w:p w14:paraId="2AB2DF01" w14:textId="51B5F757" w:rsidR="00464422" w:rsidRPr="00464422" w:rsidRDefault="00755190" w:rsidP="001C37ED">
      <w:pPr>
        <w:spacing w:line="240" w:lineRule="auto"/>
        <w:jc w:val="both"/>
        <w:rPr>
          <w:szCs w:val="24"/>
        </w:rPr>
      </w:pPr>
      <w:r>
        <w:rPr>
          <w:b/>
          <w:szCs w:val="24"/>
        </w:rPr>
        <w:t>Figura 2</w:t>
      </w:r>
      <w:r w:rsidR="00464422" w:rsidRPr="00464422">
        <w:rPr>
          <w:b/>
          <w:szCs w:val="24"/>
        </w:rPr>
        <w:t xml:space="preserve">: </w:t>
      </w:r>
      <w:r w:rsidR="00464422" w:rsidRPr="00464422">
        <w:rPr>
          <w:szCs w:val="24"/>
        </w:rPr>
        <w:t>Médias e inter</w:t>
      </w:r>
      <w:r>
        <w:rPr>
          <w:szCs w:val="24"/>
        </w:rPr>
        <w:t xml:space="preserve">valo de 95% de confiança para a </w:t>
      </w:r>
      <w:r w:rsidR="00464422" w:rsidRPr="00464422">
        <w:rPr>
          <w:szCs w:val="24"/>
        </w:rPr>
        <w:t>biomassa individual (Wt) observados nos tratamentos de classes de tamanho: Pequeno (4,80±0,44 cm), médio (5,60±0,12 cm) e grande (6,17±0,20 cm), nas quatro biometrias durante o período de 16 de abril de 2015 a 23 de julho de 2015</w:t>
      </w:r>
      <w:r w:rsidR="00135640">
        <w:rPr>
          <w:szCs w:val="24"/>
        </w:rPr>
        <w:t xml:space="preserve"> (LogWt1 a LogWt4 representam as quatro amostras temporais)</w:t>
      </w:r>
      <w:r w:rsidR="00464422" w:rsidRPr="00464422">
        <w:rPr>
          <w:szCs w:val="24"/>
        </w:rPr>
        <w:t>.</w:t>
      </w:r>
    </w:p>
    <w:p w14:paraId="2B21E036" w14:textId="6A43E6D8" w:rsidR="00464422" w:rsidRPr="00464422" w:rsidRDefault="00464422" w:rsidP="001C37ED">
      <w:pPr>
        <w:spacing w:line="240" w:lineRule="auto"/>
        <w:ind w:firstLine="567"/>
        <w:jc w:val="both"/>
        <w:rPr>
          <w:szCs w:val="24"/>
        </w:rPr>
      </w:pPr>
      <w:r w:rsidRPr="00464422">
        <w:rPr>
          <w:szCs w:val="24"/>
        </w:rPr>
        <w:t>A</w:t>
      </w:r>
      <w:r w:rsidR="00E41A5F">
        <w:rPr>
          <w:szCs w:val="24"/>
        </w:rPr>
        <w:t xml:space="preserve">nalisando os </w:t>
      </w:r>
      <w:r w:rsidRPr="00464422">
        <w:rPr>
          <w:szCs w:val="24"/>
        </w:rPr>
        <w:t xml:space="preserve">resultados </w:t>
      </w:r>
      <w:r w:rsidR="00E41A5F">
        <w:rPr>
          <w:szCs w:val="24"/>
        </w:rPr>
        <w:t>observamos</w:t>
      </w:r>
      <w:r w:rsidRPr="00464422">
        <w:rPr>
          <w:szCs w:val="24"/>
        </w:rPr>
        <w:t xml:space="preserve"> que os menores peixes no início, </w:t>
      </w:r>
      <w:r w:rsidR="00E41A5F" w:rsidRPr="00464422">
        <w:rPr>
          <w:szCs w:val="24"/>
        </w:rPr>
        <w:t>continuaram</w:t>
      </w:r>
      <w:r w:rsidRPr="00464422">
        <w:rPr>
          <w:szCs w:val="24"/>
        </w:rPr>
        <w:t xml:space="preserve"> sendo os menores no final, assim como os maiores no início, </w:t>
      </w:r>
      <w:r w:rsidR="00E41A5F" w:rsidRPr="00464422">
        <w:rPr>
          <w:szCs w:val="24"/>
        </w:rPr>
        <w:t>permaneceram</w:t>
      </w:r>
      <w:r w:rsidR="00E41A5F">
        <w:rPr>
          <w:szCs w:val="24"/>
        </w:rPr>
        <w:t xml:space="preserve"> sendo os maiores, demonstrando </w:t>
      </w:r>
      <w:r w:rsidRPr="00464422">
        <w:rPr>
          <w:szCs w:val="24"/>
        </w:rPr>
        <w:t xml:space="preserve">a tendência de </w:t>
      </w:r>
      <w:r w:rsidR="00F62CE4">
        <w:rPr>
          <w:szCs w:val="24"/>
        </w:rPr>
        <w:t>não uniformidade</w:t>
      </w:r>
      <w:r w:rsidRPr="00464422">
        <w:rPr>
          <w:szCs w:val="24"/>
        </w:rPr>
        <w:t xml:space="preserve"> </w:t>
      </w:r>
      <w:r w:rsidR="00DE13D2">
        <w:rPr>
          <w:szCs w:val="24"/>
        </w:rPr>
        <w:t>nos alevinos</w:t>
      </w:r>
      <w:r w:rsidR="00DE13D2" w:rsidRPr="00464422">
        <w:rPr>
          <w:szCs w:val="24"/>
        </w:rPr>
        <w:t xml:space="preserve"> </w:t>
      </w:r>
      <w:r w:rsidRPr="00464422">
        <w:rPr>
          <w:szCs w:val="24"/>
        </w:rPr>
        <w:t xml:space="preserve">conservar-se ao longo do cultivo. Além disso, </w:t>
      </w:r>
      <w:r w:rsidR="00E41A5F" w:rsidRPr="00464422">
        <w:rPr>
          <w:szCs w:val="24"/>
        </w:rPr>
        <w:t>evidencia</w:t>
      </w:r>
      <w:r w:rsidRPr="00464422">
        <w:rPr>
          <w:szCs w:val="24"/>
        </w:rPr>
        <w:t xml:space="preserve"> que a </w:t>
      </w:r>
      <w:r w:rsidR="00F62CE4">
        <w:rPr>
          <w:szCs w:val="24"/>
        </w:rPr>
        <w:t>heterogeneidade</w:t>
      </w:r>
      <w:r w:rsidRPr="00464422">
        <w:rPr>
          <w:szCs w:val="24"/>
        </w:rPr>
        <w:t xml:space="preserve"> é afetada, principalmente, pelo condicionamento genético individual, já que não houve grandes variações em comprimento padrão e peso total dentro dos tratamentos. Na existência dessas grandes variações, era esperado que os resultados finais se cruzassem de tal modo que os maiores peixes poderiam pertencer as 3 classes de tratamentos, e da mesma forma para os menores. Isso daria sustentação a hipótese de que a heterogeneidade fosse consequência de competições intraespecíficas e manejo. Pois segundo B</w:t>
      </w:r>
      <w:r w:rsidR="001C37ED" w:rsidRPr="00464422">
        <w:rPr>
          <w:szCs w:val="24"/>
        </w:rPr>
        <w:t>oscolo</w:t>
      </w:r>
      <w:r w:rsidRPr="00464422">
        <w:rPr>
          <w:szCs w:val="24"/>
        </w:rPr>
        <w:t xml:space="preserve"> (2011), a prática de uniformização dos lotes de peixes em relação ao tamanho aumentam as interações antagonistas entre os indivíduos, podendo causar desestabilização social.</w:t>
      </w:r>
    </w:p>
    <w:p w14:paraId="4DA34FF5" w14:textId="77777777" w:rsidR="00D66241" w:rsidRDefault="00D66241" w:rsidP="00D66241">
      <w:pPr>
        <w:spacing w:after="0" w:line="240" w:lineRule="auto"/>
        <w:ind w:firstLine="539"/>
        <w:jc w:val="both"/>
        <w:rPr>
          <w:color w:val="000000"/>
          <w:szCs w:val="24"/>
        </w:rPr>
      </w:pPr>
    </w:p>
    <w:p w14:paraId="0D3F49C4" w14:textId="77777777" w:rsidR="00376441" w:rsidRPr="00C86FAA" w:rsidRDefault="0084602C" w:rsidP="00D66241">
      <w:pPr>
        <w:spacing w:after="0" w:line="240" w:lineRule="auto"/>
        <w:jc w:val="both"/>
        <w:rPr>
          <w:b/>
          <w:szCs w:val="24"/>
        </w:rPr>
      </w:pPr>
      <w:r w:rsidRPr="00C86FAA">
        <w:rPr>
          <w:b/>
          <w:szCs w:val="24"/>
        </w:rPr>
        <w:t>4- CONCLUSÃO</w:t>
      </w:r>
    </w:p>
    <w:p w14:paraId="4FFD9CEC" w14:textId="77777777" w:rsidR="00C86FAA" w:rsidRPr="00C86FAA" w:rsidRDefault="00C86FAA" w:rsidP="00D66241">
      <w:pPr>
        <w:spacing w:after="0" w:line="240" w:lineRule="auto"/>
        <w:ind w:firstLine="708"/>
        <w:jc w:val="both"/>
        <w:rPr>
          <w:color w:val="000000"/>
          <w:szCs w:val="24"/>
        </w:rPr>
      </w:pPr>
    </w:p>
    <w:p w14:paraId="4F79F6D4" w14:textId="77777777" w:rsidR="00376441" w:rsidRDefault="001C37ED" w:rsidP="001C37ED">
      <w:pPr>
        <w:pStyle w:val="Ttulo1"/>
        <w:spacing w:before="0" w:after="0"/>
        <w:ind w:firstLine="567"/>
        <w:jc w:val="both"/>
        <w:rPr>
          <w:rFonts w:ascii="Times New Roman" w:eastAsia="Calibri" w:hAnsi="Times New Roman" w:cs="Times New Roman"/>
          <w:b w:val="0"/>
          <w:bCs w:val="0"/>
          <w:color w:val="000000"/>
          <w:kern w:val="0"/>
          <w:sz w:val="24"/>
          <w:szCs w:val="24"/>
          <w:lang w:eastAsia="en-US"/>
        </w:rPr>
      </w:pPr>
      <w:r w:rsidRPr="001C37ED">
        <w:rPr>
          <w:rFonts w:ascii="Times New Roman" w:eastAsia="Calibri" w:hAnsi="Times New Roman" w:cs="Times New Roman"/>
          <w:b w:val="0"/>
          <w:bCs w:val="0"/>
          <w:color w:val="000000"/>
          <w:kern w:val="0"/>
          <w:sz w:val="24"/>
          <w:szCs w:val="24"/>
          <w:lang w:eastAsia="en-US"/>
        </w:rPr>
        <w:t>A uniformidade dos peixes no final dos cultivos é dependente de predisposições genéticas individuais que podem superar os efeitos de competições intraespecíficas ou práticas de manejo. Nesse sentido, a uniformização do tamanho nos lotes de alevinos é uma prática recomendada para diminuir a heterogeneidade no momento do abate.</w:t>
      </w:r>
    </w:p>
    <w:p w14:paraId="14FF0ED7" w14:textId="77777777" w:rsidR="001C37ED" w:rsidRPr="001C37ED" w:rsidRDefault="001C37ED" w:rsidP="001C37ED"/>
    <w:p w14:paraId="17E91032" w14:textId="77777777"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14:paraId="631F0995" w14:textId="77777777" w:rsidR="00376441" w:rsidRPr="00C86FAA" w:rsidRDefault="00376441" w:rsidP="00D66241">
      <w:pPr>
        <w:pStyle w:val="Ttulo1"/>
        <w:spacing w:before="0" w:after="0"/>
        <w:jc w:val="both"/>
        <w:rPr>
          <w:rFonts w:ascii="Times New Roman" w:hAnsi="Times New Roman" w:cs="Times New Roman"/>
          <w:caps/>
          <w:sz w:val="24"/>
          <w:szCs w:val="24"/>
        </w:rPr>
      </w:pPr>
    </w:p>
    <w:p w14:paraId="38BF748B" w14:textId="77777777" w:rsidR="00C86FAA" w:rsidRDefault="001C37ED" w:rsidP="001C37ED">
      <w:pPr>
        <w:spacing w:after="0" w:line="240" w:lineRule="auto"/>
        <w:ind w:firstLine="567"/>
        <w:jc w:val="both"/>
        <w:rPr>
          <w:color w:val="000000"/>
          <w:szCs w:val="24"/>
        </w:rPr>
      </w:pPr>
      <w:r w:rsidRPr="001C37ED">
        <w:rPr>
          <w:color w:val="000000"/>
          <w:szCs w:val="24"/>
        </w:rPr>
        <w:t>Agradecemos ao Instituto de Pesquisa em Aquicultura Ambiental - INPAA, da Universidade Estadual do Oeste do Paraná - UNIOESTE pelo apoio logístico para o desenvolvimento do presente e a Fundação Araucária pela concessão de bolsa de estudos na modalidade de iniciação científica.</w:t>
      </w:r>
    </w:p>
    <w:p w14:paraId="23E6C30D" w14:textId="77777777" w:rsidR="00755190" w:rsidRDefault="00755190" w:rsidP="001C37ED">
      <w:pPr>
        <w:spacing w:after="0" w:line="240" w:lineRule="auto"/>
        <w:ind w:firstLine="567"/>
        <w:jc w:val="both"/>
        <w:rPr>
          <w:color w:val="000000"/>
          <w:szCs w:val="24"/>
        </w:rPr>
      </w:pPr>
    </w:p>
    <w:p w14:paraId="66D5994B" w14:textId="77777777" w:rsidR="001C37ED" w:rsidRPr="00C86FAA" w:rsidRDefault="001C37ED" w:rsidP="00D66241">
      <w:pPr>
        <w:spacing w:after="0" w:line="240" w:lineRule="auto"/>
        <w:ind w:firstLine="284"/>
        <w:jc w:val="both"/>
        <w:rPr>
          <w:szCs w:val="24"/>
          <w:lang w:eastAsia="pt-BR"/>
        </w:rPr>
      </w:pPr>
    </w:p>
    <w:p w14:paraId="2B66CEB4" w14:textId="77777777"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6- REFERÊNCIA BIBLIOGRÁFICA</w:t>
      </w:r>
    </w:p>
    <w:p w14:paraId="22149DEB" w14:textId="77777777" w:rsidR="00376441" w:rsidRDefault="00376441" w:rsidP="00D66241">
      <w:pPr>
        <w:pStyle w:val="Ttulo1"/>
        <w:spacing w:before="0" w:after="0"/>
        <w:jc w:val="both"/>
        <w:rPr>
          <w:rFonts w:ascii="Times New Roman" w:hAnsi="Times New Roman" w:cs="Times New Roman"/>
          <w:b w:val="0"/>
          <w:color w:val="000000"/>
          <w:sz w:val="24"/>
          <w:szCs w:val="24"/>
        </w:rPr>
      </w:pPr>
    </w:p>
    <w:p w14:paraId="0BFB01A3" w14:textId="77777777" w:rsidR="00B875ED" w:rsidRDefault="00B875ED" w:rsidP="008F68B6">
      <w:pPr>
        <w:spacing w:line="240" w:lineRule="auto"/>
        <w:jc w:val="both"/>
      </w:pPr>
      <w:r w:rsidRPr="00B875ED">
        <w:t xml:space="preserve">BOSCOLO, C.N.P.  A homogeneidade de tamanho aumenta as interações agressivas em grupos de machos revertidos de tilápia-do-nilo, linhagem </w:t>
      </w:r>
      <w:r w:rsidRPr="00B875ED">
        <w:rPr>
          <w:i/>
        </w:rPr>
        <w:t>gift</w:t>
      </w:r>
      <w:r w:rsidRPr="00B875ED">
        <w:t>.</w:t>
      </w:r>
      <w:r>
        <w:t xml:space="preserve"> 2011. 62p.</w:t>
      </w:r>
      <w:r w:rsidRPr="00B875ED">
        <w:t xml:space="preserve"> </w:t>
      </w:r>
      <w:r w:rsidRPr="00B875ED">
        <w:rPr>
          <w:b/>
        </w:rPr>
        <w:t>Dissertação (Mestrado)</w:t>
      </w:r>
      <w:r>
        <w:rPr>
          <w:b/>
        </w:rPr>
        <w:t xml:space="preserve"> – </w:t>
      </w:r>
      <w:r w:rsidRPr="00B875ED">
        <w:t>Universidade Estadual Paulista</w:t>
      </w:r>
      <w:r>
        <w:t>, Jaboticabal.</w:t>
      </w:r>
    </w:p>
    <w:p w14:paraId="377A85B5" w14:textId="77777777" w:rsidR="00B875ED" w:rsidRPr="00B875ED" w:rsidRDefault="00B875ED" w:rsidP="008F68B6">
      <w:pPr>
        <w:spacing w:line="240" w:lineRule="auto"/>
        <w:jc w:val="both"/>
      </w:pPr>
      <w:r w:rsidRPr="00B875ED">
        <w:t xml:space="preserve">BOZANO, G.L.N. Viabilidade técnica da criação de peixes em tanques rede. In: </w:t>
      </w:r>
      <w:r w:rsidRPr="00B875ED">
        <w:rPr>
          <w:iCs/>
        </w:rPr>
        <w:t xml:space="preserve">Simpósio Brasileiro de Aqüicultura, </w:t>
      </w:r>
      <w:r w:rsidRPr="00B875ED">
        <w:t xml:space="preserve">12., 2002, Goiânia. </w:t>
      </w:r>
      <w:r w:rsidRPr="00B875ED">
        <w:rPr>
          <w:b/>
        </w:rPr>
        <w:t>Anais</w:t>
      </w:r>
      <w:r w:rsidRPr="00B875ED">
        <w:t>. Goiânia/GO. Abraq, 2002. p.107-111.</w:t>
      </w:r>
    </w:p>
    <w:p w14:paraId="72685322" w14:textId="77777777" w:rsidR="00B875ED" w:rsidRPr="00B875ED" w:rsidRDefault="00B875ED" w:rsidP="008F68B6">
      <w:pPr>
        <w:spacing w:line="240" w:lineRule="auto"/>
        <w:jc w:val="both"/>
        <w:rPr>
          <w:lang w:val="en-US"/>
        </w:rPr>
      </w:pPr>
      <w:r w:rsidRPr="00B875ED">
        <w:rPr>
          <w:lang w:val="en-US"/>
        </w:rPr>
        <w:t>BROWN, J.H.; GILLOOGY, J.F.; ALLEN, A.P.; SAVAGE, V.M.; WEST, G.B. Toward a Metabolic Theory of Ecology.</w:t>
      </w:r>
      <w:r w:rsidRPr="00B875ED">
        <w:rPr>
          <w:i/>
          <w:lang w:val="en-US"/>
        </w:rPr>
        <w:t xml:space="preserve"> </w:t>
      </w:r>
      <w:r w:rsidRPr="00B875ED">
        <w:rPr>
          <w:b/>
          <w:lang w:val="en-US"/>
        </w:rPr>
        <w:t>Ecology Society of America,</w:t>
      </w:r>
      <w:r w:rsidRPr="00B875ED">
        <w:rPr>
          <w:lang w:val="en-US"/>
        </w:rPr>
        <w:t xml:space="preserve"> </w:t>
      </w:r>
      <w:r w:rsidR="00FC7A84">
        <w:rPr>
          <w:lang w:val="en-US"/>
        </w:rPr>
        <w:t>v.</w:t>
      </w:r>
      <w:r w:rsidRPr="00FC7A84">
        <w:rPr>
          <w:lang w:val="en-US"/>
        </w:rPr>
        <w:t>85</w:t>
      </w:r>
      <w:r w:rsidR="00FC7A84">
        <w:rPr>
          <w:lang w:val="en-US"/>
        </w:rPr>
        <w:t xml:space="preserve">, p.1771-1789, </w:t>
      </w:r>
      <w:r>
        <w:rPr>
          <w:lang w:val="en-US"/>
        </w:rPr>
        <w:t>2004.</w:t>
      </w:r>
    </w:p>
    <w:p w14:paraId="274A2C26" w14:textId="77777777" w:rsidR="00B875ED" w:rsidRPr="00B875ED" w:rsidRDefault="00B875ED" w:rsidP="008F68B6">
      <w:pPr>
        <w:spacing w:line="240" w:lineRule="auto"/>
        <w:jc w:val="both"/>
        <w:rPr>
          <w:b/>
          <w:lang w:val="en-US"/>
        </w:rPr>
      </w:pPr>
      <w:r w:rsidRPr="00FC7A84">
        <w:rPr>
          <w:lang w:val="en-US"/>
        </w:rPr>
        <w:t>CAMPOS-RAMOS, R.; HARVEY, S.C.; MCANDREW, B.J.</w:t>
      </w:r>
      <w:r w:rsidR="00FC7A84">
        <w:rPr>
          <w:lang w:val="en-US"/>
        </w:rPr>
        <w:t xml:space="preserve">; PENMAN, D.J. </w:t>
      </w:r>
      <w:r w:rsidRPr="00FC7A84">
        <w:rPr>
          <w:lang w:val="en-US"/>
        </w:rPr>
        <w:t xml:space="preserve">An investigation of sex determination in the Mozambique tilapia, </w:t>
      </w:r>
      <w:r w:rsidRPr="00FC7A84">
        <w:rPr>
          <w:i/>
          <w:lang w:val="en-US"/>
        </w:rPr>
        <w:t>Oreochromis mossambicus</w:t>
      </w:r>
      <w:r w:rsidRPr="00FC7A84">
        <w:rPr>
          <w:lang w:val="en-US"/>
        </w:rPr>
        <w:t>, using synaptonemal complex analysis,  sh sex reversal and gynogenesis.</w:t>
      </w:r>
      <w:r w:rsidRPr="00B875ED">
        <w:rPr>
          <w:b/>
          <w:lang w:val="en-US"/>
        </w:rPr>
        <w:t xml:space="preserve"> </w:t>
      </w:r>
      <w:r w:rsidRPr="00FC7A84">
        <w:rPr>
          <w:b/>
          <w:lang w:val="en-US"/>
        </w:rPr>
        <w:t>Aquaculture,</w:t>
      </w:r>
      <w:r w:rsidRPr="00FC7A84">
        <w:rPr>
          <w:i/>
          <w:lang w:val="en-US"/>
        </w:rPr>
        <w:t xml:space="preserve"> </w:t>
      </w:r>
      <w:r w:rsidR="00FC7A84">
        <w:rPr>
          <w:lang w:val="en-US"/>
        </w:rPr>
        <w:t xml:space="preserve">v. </w:t>
      </w:r>
      <w:r w:rsidRPr="00FC7A84">
        <w:rPr>
          <w:lang w:val="en-US"/>
        </w:rPr>
        <w:t>221</w:t>
      </w:r>
      <w:r w:rsidR="00FC7A84">
        <w:rPr>
          <w:lang w:val="en-US"/>
        </w:rPr>
        <w:t>, p.125-140, 2003.</w:t>
      </w:r>
    </w:p>
    <w:p w14:paraId="638C7DC0" w14:textId="77777777" w:rsidR="00B875ED" w:rsidRPr="00C9551F" w:rsidRDefault="00B875ED" w:rsidP="008F68B6">
      <w:pPr>
        <w:spacing w:line="240" w:lineRule="auto"/>
        <w:jc w:val="both"/>
      </w:pPr>
      <w:r w:rsidRPr="00C9551F">
        <w:rPr>
          <w:lang w:val="en-US"/>
        </w:rPr>
        <w:t xml:space="preserve">CARVALHO, T.B. e GONÇALVES-DE-FREITAS, E. Sex group composition, social interaction, and metabolism in the fish Nile tilapia. </w:t>
      </w:r>
      <w:r w:rsidRPr="00C9551F">
        <w:rPr>
          <w:b/>
        </w:rPr>
        <w:t>Brazilian Journal of Biology</w:t>
      </w:r>
      <w:r w:rsidRPr="00C9551F">
        <w:t xml:space="preserve">, </w:t>
      </w:r>
      <w:r w:rsidR="00C9551F">
        <w:t>v.</w:t>
      </w:r>
      <w:r w:rsidRPr="00C9551F">
        <w:t>68</w:t>
      </w:r>
      <w:r w:rsidR="00C9551F">
        <w:t>, p.</w:t>
      </w:r>
      <w:r w:rsidRPr="00C9551F">
        <w:t>807</w:t>
      </w:r>
      <w:r w:rsidR="00C9551F">
        <w:t>-812, 2008.</w:t>
      </w:r>
    </w:p>
    <w:p w14:paraId="1FC127B0" w14:textId="77777777" w:rsidR="00B875ED" w:rsidRPr="00C9551F" w:rsidRDefault="00B875ED" w:rsidP="008F68B6">
      <w:pPr>
        <w:spacing w:line="240" w:lineRule="auto"/>
        <w:jc w:val="both"/>
      </w:pPr>
      <w:r w:rsidRPr="00C9551F">
        <w:t xml:space="preserve">CAVERO, B.A.S.; PEREIRA-FILHO, M.; ROUBACH, R.; ITUASSÚ, D.R.; GANDRA, A.L.; CRESCÊNCIO, R. Efeito da densidade de estocagem na homogeneidade do crescimento de juvenis de pirarucu em ambiente confinado. </w:t>
      </w:r>
      <w:r w:rsidRPr="00C9551F">
        <w:rPr>
          <w:b/>
        </w:rPr>
        <w:t>Pesquisa Agropecuária Brasileira</w:t>
      </w:r>
      <w:r w:rsidRPr="00C9551F">
        <w:t xml:space="preserve">, </w:t>
      </w:r>
      <w:r w:rsidR="00C9551F">
        <w:t>v.</w:t>
      </w:r>
      <w:r w:rsidRPr="00C9551F">
        <w:t>38</w:t>
      </w:r>
      <w:r w:rsidR="00C9551F">
        <w:t>, p.103-107, 2003.</w:t>
      </w:r>
    </w:p>
    <w:p w14:paraId="501C44DB" w14:textId="3C04F36F" w:rsidR="00B875ED" w:rsidRDefault="00B875ED" w:rsidP="008F68B6">
      <w:pPr>
        <w:spacing w:line="240" w:lineRule="auto"/>
        <w:jc w:val="both"/>
        <w:rPr>
          <w:lang w:val="en-US"/>
        </w:rPr>
      </w:pPr>
      <w:r w:rsidRPr="00C9551F">
        <w:rPr>
          <w:lang w:val="en-US"/>
        </w:rPr>
        <w:t xml:space="preserve">DESPREZ, D.; GÉRAZ, E.; HOAREAU, M.C.; MÉLARD, C.; BOSC, P.; BAROILLER, F. Production of a high percentage of male offspring with a natural androgen, 11 b - hydroxyandrostenedione (11bOHA4), in Florida red tilapia. </w:t>
      </w:r>
      <w:r w:rsidRPr="00C9551F">
        <w:rPr>
          <w:b/>
          <w:lang w:val="en-US"/>
        </w:rPr>
        <w:t>Aquaculture</w:t>
      </w:r>
      <w:r w:rsidRPr="00C9551F">
        <w:rPr>
          <w:lang w:val="en-US"/>
        </w:rPr>
        <w:t xml:space="preserve">, </w:t>
      </w:r>
      <w:r w:rsidR="00C9551F">
        <w:rPr>
          <w:lang w:val="en-US"/>
        </w:rPr>
        <w:t>v.</w:t>
      </w:r>
      <w:r w:rsidRPr="00C9551F">
        <w:rPr>
          <w:lang w:val="en-US"/>
        </w:rPr>
        <w:t>216</w:t>
      </w:r>
      <w:r w:rsidR="00C9551F">
        <w:rPr>
          <w:lang w:val="en-US"/>
        </w:rPr>
        <w:t>, p.55-65, 2003.</w:t>
      </w:r>
    </w:p>
    <w:p w14:paraId="24FBB8C0" w14:textId="556BBC25" w:rsidR="00B0341C" w:rsidRPr="00C9551F" w:rsidRDefault="00B0341C" w:rsidP="008F68B6">
      <w:pPr>
        <w:spacing w:line="240" w:lineRule="auto"/>
        <w:jc w:val="both"/>
        <w:rPr>
          <w:lang w:val="en-US"/>
        </w:rPr>
      </w:pPr>
      <w:r>
        <w:t>GEISSER, S.; GREENHOUSE, S.W. An extension of Box’s result on the use of F distribution in multivariate analysis</w:t>
      </w:r>
      <w:r w:rsidRPr="00B0341C">
        <w:rPr>
          <w:b/>
        </w:rPr>
        <w:t>. Annals of Mathematical Statistics</w:t>
      </w:r>
      <w:r>
        <w:t>, v. 29, p.885–891,1958.</w:t>
      </w:r>
    </w:p>
    <w:p w14:paraId="678A6F0E" w14:textId="357FAB33" w:rsidR="00B875ED" w:rsidRDefault="00B875ED" w:rsidP="008F68B6">
      <w:pPr>
        <w:spacing w:line="240" w:lineRule="auto"/>
        <w:jc w:val="both"/>
        <w:rPr>
          <w:bCs/>
        </w:rPr>
      </w:pPr>
      <w:r w:rsidRPr="00C9551F">
        <w:rPr>
          <w:bCs/>
        </w:rPr>
        <w:t>HAYASHI, C.; SOARES, C.M.; GALDIOLI, E.M.; FURUYA, V.R.B.; BOSCOLO, W.R. Desenvolvimento de girinos de rã-touro (</w:t>
      </w:r>
      <w:r w:rsidRPr="00C9551F">
        <w:rPr>
          <w:bCs/>
          <w:i/>
          <w:iCs/>
        </w:rPr>
        <w:t>Rana catesbeiana</w:t>
      </w:r>
      <w:r w:rsidRPr="00C9551F">
        <w:rPr>
          <w:bCs/>
        </w:rPr>
        <w:t xml:space="preserve">, Shaw, 1802) cultivados em diferentes densidades de estocagem em tanques-rede. </w:t>
      </w:r>
      <w:r w:rsidRPr="00C9551F">
        <w:rPr>
          <w:b/>
          <w:bCs/>
        </w:rPr>
        <w:t>Revista Brasileira de Zootecnia</w:t>
      </w:r>
      <w:r w:rsidRPr="00C9551F">
        <w:rPr>
          <w:bCs/>
        </w:rPr>
        <w:t xml:space="preserve">, </w:t>
      </w:r>
      <w:r w:rsidR="00C9551F">
        <w:rPr>
          <w:bCs/>
        </w:rPr>
        <w:t>v.</w:t>
      </w:r>
      <w:r w:rsidRPr="00C9551F">
        <w:rPr>
          <w:bCs/>
        </w:rPr>
        <w:t>33</w:t>
      </w:r>
      <w:r w:rsidR="00C9551F">
        <w:rPr>
          <w:bCs/>
        </w:rPr>
        <w:t>, p.</w:t>
      </w:r>
      <w:r w:rsidRPr="00C9551F">
        <w:rPr>
          <w:bCs/>
        </w:rPr>
        <w:t>14-20</w:t>
      </w:r>
      <w:r w:rsidR="00C9551F">
        <w:rPr>
          <w:bCs/>
        </w:rPr>
        <w:t>, 2004.</w:t>
      </w:r>
    </w:p>
    <w:p w14:paraId="7DD79379" w14:textId="76EDB93D" w:rsidR="00B0341C" w:rsidRPr="00C9551F" w:rsidRDefault="00B0341C" w:rsidP="008F68B6">
      <w:pPr>
        <w:spacing w:line="240" w:lineRule="auto"/>
        <w:jc w:val="both"/>
      </w:pPr>
      <w:r>
        <w:t xml:space="preserve">HUYNH, H; FELDT, LS. Estimation of the Box correction for degrees of freedom from sample data in randomised block and split-plot designs. </w:t>
      </w:r>
      <w:r w:rsidRPr="00B0341C">
        <w:rPr>
          <w:b/>
        </w:rPr>
        <w:t>Journal of Educational Statistics</w:t>
      </w:r>
      <w:r>
        <w:t>, v.1, p.69-82, 1976.</w:t>
      </w:r>
    </w:p>
    <w:p w14:paraId="44D362B3" w14:textId="77777777" w:rsidR="00B875ED" w:rsidRPr="00C9551F" w:rsidRDefault="00B875ED" w:rsidP="008F68B6">
      <w:pPr>
        <w:spacing w:line="240" w:lineRule="auto"/>
        <w:jc w:val="both"/>
      </w:pPr>
      <w:r w:rsidRPr="00C9551F">
        <w:t xml:space="preserve">KUBITZA, F. </w:t>
      </w:r>
      <w:r w:rsidRPr="00C9551F">
        <w:rPr>
          <w:b/>
        </w:rPr>
        <w:t>Tilápia:</w:t>
      </w:r>
      <w:r w:rsidRPr="00C9551F">
        <w:t xml:space="preserve"> Tecnologia e planejamento na produção comercial. 2ª ed. Jundiaí</w:t>
      </w:r>
      <w:r w:rsidR="00C9551F">
        <w:t>: F. Kubitza,</w:t>
      </w:r>
      <w:r w:rsidRPr="00C9551F">
        <w:t xml:space="preserve"> </w:t>
      </w:r>
      <w:r w:rsidR="00C9551F">
        <w:t>2000. 285p.</w:t>
      </w:r>
    </w:p>
    <w:p w14:paraId="7C7E351B" w14:textId="77777777" w:rsidR="00B875ED" w:rsidRPr="00C9551F" w:rsidRDefault="00B875ED" w:rsidP="008F68B6">
      <w:pPr>
        <w:spacing w:line="240" w:lineRule="auto"/>
        <w:jc w:val="both"/>
      </w:pPr>
      <w:r w:rsidRPr="00C9551F">
        <w:t xml:space="preserve">KUBITZA, F. </w:t>
      </w:r>
      <w:r w:rsidRPr="00C9551F">
        <w:rPr>
          <w:b/>
        </w:rPr>
        <w:t>Qualidade da água no cultivo de peixes e camarões</w:t>
      </w:r>
      <w:r w:rsidR="00C9551F">
        <w:rPr>
          <w:b/>
        </w:rPr>
        <w:t>.</w:t>
      </w:r>
      <w:r w:rsidRPr="00C9551F">
        <w:t xml:space="preserve"> 1ª ed. </w:t>
      </w:r>
      <w:r w:rsidR="00C9551F">
        <w:t>Jundiaí: F. Kubitza,</w:t>
      </w:r>
      <w:r w:rsidRPr="00C9551F">
        <w:t xml:space="preserve"> </w:t>
      </w:r>
      <w:r w:rsidR="00C9551F" w:rsidRPr="00C9551F">
        <w:t>2003</w:t>
      </w:r>
      <w:r w:rsidR="00C9551F">
        <w:t xml:space="preserve">. </w:t>
      </w:r>
      <w:r w:rsidRPr="00C9551F">
        <w:t>229p.</w:t>
      </w:r>
    </w:p>
    <w:p w14:paraId="10C842F9" w14:textId="77777777" w:rsidR="00B875ED" w:rsidRPr="00C9551F" w:rsidRDefault="00B875ED" w:rsidP="008F68B6">
      <w:pPr>
        <w:spacing w:line="240" w:lineRule="auto"/>
        <w:jc w:val="both"/>
      </w:pPr>
      <w:r w:rsidRPr="00C9551F">
        <w:t xml:space="preserve">KUBITZA, F. Questões frequentes dos produtores sobre a qualidade dos alevinos de tilápia. </w:t>
      </w:r>
      <w:r w:rsidRPr="00C9551F">
        <w:rPr>
          <w:b/>
        </w:rPr>
        <w:t>Panorama da Aquicultura</w:t>
      </w:r>
      <w:r w:rsidR="00C9551F" w:rsidRPr="00C9551F">
        <w:rPr>
          <w:b/>
        </w:rPr>
        <w:t xml:space="preserve">, </w:t>
      </w:r>
      <w:r w:rsidR="00C9551F" w:rsidRPr="00C9551F">
        <w:t>v.</w:t>
      </w:r>
      <w:r w:rsidRPr="00C9551F">
        <w:t>16</w:t>
      </w:r>
      <w:r w:rsidR="00C9551F" w:rsidRPr="00C9551F">
        <w:t>, p.14-23, 2006.</w:t>
      </w:r>
    </w:p>
    <w:p w14:paraId="6DBE0F2A" w14:textId="77777777" w:rsidR="00B875ED" w:rsidRPr="00C9551F" w:rsidRDefault="00B875ED" w:rsidP="008F68B6">
      <w:pPr>
        <w:spacing w:line="240" w:lineRule="auto"/>
        <w:jc w:val="both"/>
      </w:pPr>
      <w:r w:rsidRPr="00C9551F">
        <w:t xml:space="preserve">KUBITZA, F. Mais profissionalismo na produção de peixes. </w:t>
      </w:r>
      <w:r w:rsidRPr="00C9551F">
        <w:rPr>
          <w:b/>
        </w:rPr>
        <w:t>Panorama da Aquicultura</w:t>
      </w:r>
      <w:r w:rsidR="00C9551F">
        <w:t>, v.</w:t>
      </w:r>
      <w:r w:rsidRPr="00C9551F">
        <w:t>17</w:t>
      </w:r>
      <w:r w:rsidR="00C9551F">
        <w:t>, p.42-45,</w:t>
      </w:r>
      <w:r w:rsidR="00C9551F" w:rsidRPr="00C9551F">
        <w:t xml:space="preserve"> 2007.</w:t>
      </w:r>
    </w:p>
    <w:p w14:paraId="2F58ADC1" w14:textId="77777777" w:rsidR="00B875ED" w:rsidRPr="00C9551F" w:rsidRDefault="00B875ED" w:rsidP="008F68B6">
      <w:pPr>
        <w:spacing w:line="240" w:lineRule="auto"/>
        <w:jc w:val="both"/>
        <w:rPr>
          <w:lang w:val="en-US"/>
        </w:rPr>
      </w:pPr>
      <w:r w:rsidRPr="00C9551F">
        <w:rPr>
          <w:lang w:val="en-US"/>
        </w:rPr>
        <w:t xml:space="preserve">LOWE-MCCONNELL, R.H. Observations on the biology of Tilapia nilotica Linné in East African waters. </w:t>
      </w:r>
      <w:r w:rsidRPr="00C9551F">
        <w:rPr>
          <w:b/>
          <w:lang w:val="en-US"/>
        </w:rPr>
        <w:t>Revue de Zoologie et de Botanique Africaine</w:t>
      </w:r>
      <w:r w:rsidR="00C9551F">
        <w:rPr>
          <w:lang w:val="en-US"/>
        </w:rPr>
        <w:t>, v.</w:t>
      </w:r>
      <w:r w:rsidRPr="00C9551F">
        <w:rPr>
          <w:lang w:val="en-US"/>
        </w:rPr>
        <w:t>67</w:t>
      </w:r>
      <w:r w:rsidR="00C9551F">
        <w:rPr>
          <w:lang w:val="en-US"/>
        </w:rPr>
        <w:t>, p.129–170,</w:t>
      </w:r>
      <w:r w:rsidR="00C9551F" w:rsidRPr="00C9551F">
        <w:rPr>
          <w:lang w:val="en-US"/>
        </w:rPr>
        <w:t xml:space="preserve"> 1958</w:t>
      </w:r>
      <w:r w:rsidR="00C9551F">
        <w:rPr>
          <w:lang w:val="en-US"/>
        </w:rPr>
        <w:t>.</w:t>
      </w:r>
    </w:p>
    <w:p w14:paraId="780E8360" w14:textId="77777777" w:rsidR="00B875ED" w:rsidRPr="00B54B43" w:rsidRDefault="00B875ED" w:rsidP="008F68B6">
      <w:pPr>
        <w:spacing w:line="240" w:lineRule="auto"/>
        <w:jc w:val="both"/>
      </w:pPr>
      <w:r w:rsidRPr="00B54B43">
        <w:rPr>
          <w:lang w:val="en-US"/>
        </w:rPr>
        <w:lastRenderedPageBreak/>
        <w:t>NOVATO, P.F.C. e VIEGAS, E.M.M. Carcass yield analysis of Florida Red Tilapia in three weight classes.</w:t>
      </w:r>
      <w:r w:rsidR="00B54B43">
        <w:rPr>
          <w:lang w:val="en-US"/>
        </w:rPr>
        <w:t xml:space="preserve"> In</w:t>
      </w:r>
      <w:r w:rsidRPr="00B54B43">
        <w:rPr>
          <w:lang w:val="en-US"/>
        </w:rPr>
        <w:t xml:space="preserve"> </w:t>
      </w:r>
      <w:r w:rsidRPr="00B54B43">
        <w:t>International Symposium Biology Of Tropical Fishes</w:t>
      </w:r>
      <w:r w:rsidR="003B572D">
        <w:t>, 1997. Manaus. Anais. Manaus/AM. INPA, 1997.</w:t>
      </w:r>
      <w:r w:rsidRPr="00B54B43">
        <w:t xml:space="preserve"> p. 150.</w:t>
      </w:r>
    </w:p>
    <w:p w14:paraId="5FD2F7E7" w14:textId="77777777" w:rsidR="00B875ED" w:rsidRPr="003B572D" w:rsidRDefault="00B875ED" w:rsidP="008F68B6">
      <w:pPr>
        <w:spacing w:line="240" w:lineRule="auto"/>
        <w:jc w:val="both"/>
      </w:pPr>
      <w:r w:rsidRPr="003B572D">
        <w:t xml:space="preserve">ONO, E.A. e KUBITZA, F. </w:t>
      </w:r>
      <w:r w:rsidRPr="003B572D">
        <w:rPr>
          <w:b/>
        </w:rPr>
        <w:t>Cultivo de peixes em tanques-rede</w:t>
      </w:r>
      <w:r w:rsidRPr="003B572D">
        <w:t xml:space="preserve">. 2ª ed. </w:t>
      </w:r>
      <w:r w:rsidR="003B572D">
        <w:t>Jundiaí: F. Kubitza,</w:t>
      </w:r>
      <w:r w:rsidRPr="003B572D">
        <w:t xml:space="preserve"> </w:t>
      </w:r>
      <w:r w:rsidR="003B572D">
        <w:t xml:space="preserve">1999. </w:t>
      </w:r>
      <w:r w:rsidRPr="003B572D">
        <w:t>68p.</w:t>
      </w:r>
    </w:p>
    <w:p w14:paraId="3B7D46D7" w14:textId="77777777" w:rsidR="00B875ED" w:rsidRPr="003B572D" w:rsidRDefault="00B875ED" w:rsidP="008F68B6">
      <w:pPr>
        <w:spacing w:line="240" w:lineRule="auto"/>
        <w:jc w:val="both"/>
      </w:pPr>
      <w:r w:rsidRPr="003B572D">
        <w:t xml:space="preserve">PAVANELLI, G.C.; EIRAS, J.C.; TAKEMOTO, R.M. </w:t>
      </w:r>
      <w:r w:rsidRPr="003B572D">
        <w:rPr>
          <w:b/>
        </w:rPr>
        <w:t>Doenças de peixes:</w:t>
      </w:r>
      <w:r w:rsidRPr="003B572D">
        <w:t xml:space="preserve"> profilaxia, diagnóstico e tratamento. 1ª ed. Maringá: Editora da Univers</w:t>
      </w:r>
      <w:r w:rsidR="003B572D">
        <w:t>idade Estadual de Maringá/CNPq,</w:t>
      </w:r>
      <w:r w:rsidRPr="003B572D">
        <w:t xml:space="preserve"> </w:t>
      </w:r>
      <w:r w:rsidR="003B572D" w:rsidRPr="003B572D">
        <w:t>1998</w:t>
      </w:r>
      <w:r w:rsidR="003B572D">
        <w:t xml:space="preserve">. </w:t>
      </w:r>
      <w:r w:rsidRPr="003B572D">
        <w:t>264 p.</w:t>
      </w:r>
    </w:p>
    <w:p w14:paraId="50136B7D" w14:textId="77777777" w:rsidR="00B875ED" w:rsidRPr="00B875ED" w:rsidRDefault="00B875ED" w:rsidP="008F68B6">
      <w:pPr>
        <w:spacing w:before="240" w:line="240" w:lineRule="auto"/>
        <w:rPr>
          <w:szCs w:val="24"/>
        </w:rPr>
      </w:pPr>
      <w:r w:rsidRPr="00B875ED">
        <w:rPr>
          <w:szCs w:val="24"/>
        </w:rPr>
        <w:t xml:space="preserve">SEBRAE. </w:t>
      </w:r>
      <w:r w:rsidRPr="003B572D">
        <w:rPr>
          <w:szCs w:val="24"/>
        </w:rPr>
        <w:t>Aquicultura no Brasil.</w:t>
      </w:r>
      <w:r w:rsidR="003B572D">
        <w:rPr>
          <w:szCs w:val="24"/>
        </w:rPr>
        <w:t xml:space="preserve"> Série Estudos Mercadológicos,</w:t>
      </w:r>
      <w:r w:rsidRPr="00B875ED">
        <w:rPr>
          <w:szCs w:val="24"/>
        </w:rPr>
        <w:t xml:space="preserve"> 2015. 76p.</w:t>
      </w:r>
    </w:p>
    <w:p w14:paraId="140F7BE5" w14:textId="77777777" w:rsidR="00B875ED" w:rsidRPr="003B572D" w:rsidRDefault="00B875ED" w:rsidP="008F68B6">
      <w:pPr>
        <w:spacing w:line="240" w:lineRule="auto"/>
        <w:jc w:val="both"/>
      </w:pPr>
      <w:r w:rsidRPr="003B572D">
        <w:t xml:space="preserve">SOUZA, M.L.R. e MARANHÃO, T.C.F. Rendimento de carcaça, filé e subprodutos da filetagem da tilápia do Nilo, </w:t>
      </w:r>
      <w:r w:rsidRPr="003B572D">
        <w:rPr>
          <w:i/>
        </w:rPr>
        <w:t>Oreochromis niloticus</w:t>
      </w:r>
      <w:r w:rsidRPr="003B572D">
        <w:t xml:space="preserve"> (L), em função do peso corporal.</w:t>
      </w:r>
      <w:r w:rsidRPr="003B572D">
        <w:rPr>
          <w:b/>
        </w:rPr>
        <w:t xml:space="preserve"> Acta Scientiarum, </w:t>
      </w:r>
      <w:r w:rsidR="003B572D">
        <w:t>v.</w:t>
      </w:r>
      <w:r w:rsidRPr="003B572D">
        <w:t>23,</w:t>
      </w:r>
      <w:r w:rsidR="003B572D">
        <w:t xml:space="preserve"> p.897-901, 2001.</w:t>
      </w:r>
    </w:p>
    <w:p w14:paraId="3110BFBB" w14:textId="77777777" w:rsidR="00B875ED" w:rsidRPr="00B875ED" w:rsidRDefault="003B572D" w:rsidP="008F68B6">
      <w:pPr>
        <w:spacing w:line="240" w:lineRule="auto"/>
        <w:rPr>
          <w:szCs w:val="24"/>
        </w:rPr>
      </w:pPr>
      <w:r>
        <w:rPr>
          <w:szCs w:val="24"/>
          <w:lang w:val="en-GB"/>
        </w:rPr>
        <w:t xml:space="preserve">StatSoft, Inc. </w:t>
      </w:r>
      <w:r w:rsidR="00B875ED" w:rsidRPr="00B875ED">
        <w:rPr>
          <w:szCs w:val="24"/>
          <w:lang w:val="en-GB"/>
        </w:rPr>
        <w:t xml:space="preserve">STATISTICA (data analysis software system), version 7.1. </w:t>
      </w:r>
      <w:hyperlink r:id="rId10" w:history="1">
        <w:r w:rsidR="00B875ED" w:rsidRPr="00B875ED">
          <w:rPr>
            <w:rStyle w:val="Hyperlink"/>
            <w:szCs w:val="24"/>
          </w:rPr>
          <w:t>www.statsoft.com</w:t>
        </w:r>
      </w:hyperlink>
      <w:r>
        <w:rPr>
          <w:szCs w:val="24"/>
        </w:rPr>
        <w:t>. 2005.</w:t>
      </w:r>
    </w:p>
    <w:p w14:paraId="6A9843F8" w14:textId="77777777" w:rsidR="00B875ED" w:rsidRPr="003B572D" w:rsidRDefault="00B875ED" w:rsidP="008F68B6">
      <w:pPr>
        <w:spacing w:line="240" w:lineRule="auto"/>
        <w:jc w:val="both"/>
        <w:rPr>
          <w:lang w:val="en-US"/>
        </w:rPr>
      </w:pPr>
      <w:r w:rsidRPr="003B572D">
        <w:t xml:space="preserve">STICKNEY, R.R. </w:t>
      </w:r>
      <w:r w:rsidRPr="003B572D">
        <w:rPr>
          <w:lang w:val="en-US"/>
        </w:rPr>
        <w:t>Stat</w:t>
      </w:r>
      <w:r w:rsidR="003B572D">
        <w:rPr>
          <w:lang w:val="en-US"/>
        </w:rPr>
        <w:t>us of research on tilapia. In:</w:t>
      </w:r>
      <w:r w:rsidRPr="003B572D">
        <w:rPr>
          <w:lang w:val="en-US"/>
        </w:rPr>
        <w:t xml:space="preserve"> COST</w:t>
      </w:r>
      <w:r w:rsidR="003B572D">
        <w:rPr>
          <w:lang w:val="en-US"/>
        </w:rPr>
        <w:t xml:space="preserve">A-PIERCE, B.A. e RAKOCY, J.E. </w:t>
      </w:r>
      <w:r w:rsidRPr="003B572D">
        <w:rPr>
          <w:lang w:val="en-US"/>
        </w:rPr>
        <w:t>Tilapia</w:t>
      </w:r>
      <w:r w:rsidR="003B572D">
        <w:rPr>
          <w:lang w:val="en-US"/>
        </w:rPr>
        <w:t xml:space="preserve"> aquaculture in the Americas. </w:t>
      </w:r>
      <w:r w:rsidRPr="003B572D">
        <w:rPr>
          <w:lang w:val="en-US"/>
        </w:rPr>
        <w:t>Louis</w:t>
      </w:r>
      <w:r w:rsidR="003B572D">
        <w:rPr>
          <w:lang w:val="en-US"/>
        </w:rPr>
        <w:t xml:space="preserve">iana: World Aquaculture Society, 2000. </w:t>
      </w:r>
      <w:r w:rsidRPr="003B572D">
        <w:rPr>
          <w:lang w:val="en-US"/>
        </w:rPr>
        <w:t>p.21-33.</w:t>
      </w:r>
      <w:r w:rsidR="003B572D">
        <w:rPr>
          <w:lang w:val="en-US"/>
        </w:rPr>
        <w:t xml:space="preserve"> </w:t>
      </w:r>
    </w:p>
    <w:p w14:paraId="41D86E22" w14:textId="5A888001" w:rsidR="00B0341C" w:rsidRDefault="00B0341C" w:rsidP="008F68B6">
      <w:pPr>
        <w:spacing w:line="240" w:lineRule="auto"/>
        <w:jc w:val="both"/>
        <w:rPr>
          <w:lang w:val="en-US"/>
        </w:rPr>
      </w:pPr>
      <w:r>
        <w:rPr>
          <w:lang w:val="en-US"/>
        </w:rPr>
        <w:t>VOLPATO, G.L.; FRIOLI, P.M.A.;</w:t>
      </w:r>
      <w:r w:rsidR="00B875ED" w:rsidRPr="008F68B6">
        <w:rPr>
          <w:lang w:val="en-US"/>
        </w:rPr>
        <w:t xml:space="preserve"> CARRIERI, M.P. Heterogeneous growth in fishes: some new data in the Nile tilapia (</w:t>
      </w:r>
      <w:r w:rsidR="00B875ED" w:rsidRPr="008F68B6">
        <w:rPr>
          <w:i/>
          <w:lang w:val="en-US"/>
        </w:rPr>
        <w:t>Oreochromis niloticus</w:t>
      </w:r>
      <w:r w:rsidR="00B875ED" w:rsidRPr="008F68B6">
        <w:rPr>
          <w:lang w:val="en-US"/>
        </w:rPr>
        <w:t>) and a</w:t>
      </w:r>
      <w:r w:rsidR="008F68B6">
        <w:rPr>
          <w:lang w:val="en-US"/>
        </w:rPr>
        <w:t xml:space="preserve"> general view about the causal </w:t>
      </w:r>
      <w:r w:rsidR="00B875ED" w:rsidRPr="008F68B6">
        <w:rPr>
          <w:lang w:val="en-US"/>
        </w:rPr>
        <w:t xml:space="preserve">mechanism. </w:t>
      </w:r>
      <w:r w:rsidR="00B875ED" w:rsidRPr="008F68B6">
        <w:rPr>
          <w:b/>
          <w:lang w:val="en-US"/>
        </w:rPr>
        <w:t>Boletim de Fisiologia Animal</w:t>
      </w:r>
      <w:r w:rsidR="008F68B6">
        <w:rPr>
          <w:b/>
          <w:lang w:val="en-US"/>
        </w:rPr>
        <w:t xml:space="preserve">, </w:t>
      </w:r>
      <w:r w:rsidR="008F68B6">
        <w:rPr>
          <w:lang w:val="en-US"/>
        </w:rPr>
        <w:t>v.</w:t>
      </w:r>
      <w:r w:rsidR="00B875ED" w:rsidRPr="008F68B6">
        <w:rPr>
          <w:lang w:val="en-US"/>
        </w:rPr>
        <w:t>13</w:t>
      </w:r>
      <w:r>
        <w:rPr>
          <w:lang w:val="en-US"/>
        </w:rPr>
        <w:t>, p.7–22, 1989.</w:t>
      </w:r>
    </w:p>
    <w:p w14:paraId="04CDC697" w14:textId="77777777" w:rsidR="00755190" w:rsidRPr="00755190" w:rsidRDefault="00755190" w:rsidP="00755190">
      <w:pPr>
        <w:rPr>
          <w:lang w:eastAsia="pt-BR"/>
        </w:rPr>
      </w:pPr>
    </w:p>
    <w:p w14:paraId="65483CC9" w14:textId="77777777" w:rsidR="00376441" w:rsidRPr="00706E0D" w:rsidRDefault="00376441" w:rsidP="00376441">
      <w:pPr>
        <w:spacing w:after="0" w:line="240" w:lineRule="auto"/>
        <w:jc w:val="center"/>
        <w:rPr>
          <w:b/>
          <w:szCs w:val="24"/>
          <w:lang w:eastAsia="pt-BR"/>
        </w:rPr>
      </w:pPr>
    </w:p>
    <w:sectPr w:rsidR="00376441" w:rsidRPr="00706E0D" w:rsidSect="0084602C">
      <w:headerReference w:type="default" r:id="rId11"/>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3EEC" w14:textId="77777777" w:rsidR="00780DFE" w:rsidRDefault="00780DFE" w:rsidP="00880ABD">
      <w:pPr>
        <w:spacing w:after="0" w:line="240" w:lineRule="auto"/>
      </w:pPr>
      <w:r>
        <w:separator/>
      </w:r>
    </w:p>
  </w:endnote>
  <w:endnote w:type="continuationSeparator" w:id="0">
    <w:p w14:paraId="445C5CC6" w14:textId="77777777" w:rsidR="00780DFE" w:rsidRDefault="00780DFE"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98E1" w14:textId="77777777" w:rsidR="00780DFE" w:rsidRDefault="00780DFE" w:rsidP="00880ABD">
      <w:pPr>
        <w:spacing w:after="0" w:line="240" w:lineRule="auto"/>
      </w:pPr>
      <w:r>
        <w:separator/>
      </w:r>
    </w:p>
  </w:footnote>
  <w:footnote w:type="continuationSeparator" w:id="0">
    <w:p w14:paraId="51298632" w14:textId="77777777" w:rsidR="00780DFE" w:rsidRDefault="00780DFE"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E38D" w14:textId="62653443" w:rsidR="00B516B7" w:rsidRDefault="00780DFE" w:rsidP="0084602C">
    <w:pPr>
      <w:pStyle w:val="Cabealho"/>
      <w:jc w:val="right"/>
    </w:pPr>
    <w:r>
      <w:rPr>
        <w:noProof/>
      </w:rPr>
      <w:pict w14:anchorId="08CF9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66.1pt;margin-top:-74.7pt;width:379.45pt;height:61.25pt;z-index:1;visibility:visible;mso-position-horizontal-relative:margin;mso-position-vertical-relative:margin">
          <v:imagedata r:id="rId1" o:title=""/>
          <w10:wrap type="square" anchorx="margin" anchory="margin"/>
        </v:shape>
      </w:pict>
    </w:r>
    <w:r w:rsidR="00B516B7">
      <w:t xml:space="preserve">     </w:t>
    </w:r>
    <w:r w:rsidR="00B516B7" w:rsidRPr="00880ABD">
      <w:rPr>
        <w:sz w:val="20"/>
        <w:szCs w:val="20"/>
      </w:rPr>
      <w:fldChar w:fldCharType="begin"/>
    </w:r>
    <w:r w:rsidR="00B516B7" w:rsidRPr="00880ABD">
      <w:rPr>
        <w:sz w:val="20"/>
        <w:szCs w:val="20"/>
      </w:rPr>
      <w:instrText xml:space="preserve"> PAGE   \* MERGEFORMAT </w:instrText>
    </w:r>
    <w:r w:rsidR="00B516B7" w:rsidRPr="00880ABD">
      <w:rPr>
        <w:sz w:val="20"/>
        <w:szCs w:val="20"/>
      </w:rPr>
      <w:fldChar w:fldCharType="separate"/>
    </w:r>
    <w:r w:rsidR="00B0341C">
      <w:rPr>
        <w:noProof/>
        <w:sz w:val="20"/>
        <w:szCs w:val="20"/>
      </w:rPr>
      <w:t>7</w:t>
    </w:r>
    <w:r w:rsidR="00B516B7" w:rsidRPr="00880ABD">
      <w:rPr>
        <w:sz w:val="20"/>
        <w:szCs w:val="20"/>
      </w:rPr>
      <w:fldChar w:fldCharType="end"/>
    </w:r>
  </w:p>
  <w:p w14:paraId="38145CEF" w14:textId="77777777" w:rsidR="00B516B7" w:rsidRDefault="00B516B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ABD"/>
    <w:rsid w:val="00135640"/>
    <w:rsid w:val="001C37ED"/>
    <w:rsid w:val="001F2267"/>
    <w:rsid w:val="00225CA0"/>
    <w:rsid w:val="00271200"/>
    <w:rsid w:val="002812AA"/>
    <w:rsid w:val="002F5A77"/>
    <w:rsid w:val="00301B8B"/>
    <w:rsid w:val="003270C9"/>
    <w:rsid w:val="00353954"/>
    <w:rsid w:val="00376441"/>
    <w:rsid w:val="003B572D"/>
    <w:rsid w:val="004146C9"/>
    <w:rsid w:val="00437053"/>
    <w:rsid w:val="00464422"/>
    <w:rsid w:val="00473910"/>
    <w:rsid w:val="004B33B2"/>
    <w:rsid w:val="004D17CC"/>
    <w:rsid w:val="004D5B01"/>
    <w:rsid w:val="005F0065"/>
    <w:rsid w:val="005F1B78"/>
    <w:rsid w:val="00600A4F"/>
    <w:rsid w:val="006D7C8B"/>
    <w:rsid w:val="00706E0D"/>
    <w:rsid w:val="007101DA"/>
    <w:rsid w:val="007157AB"/>
    <w:rsid w:val="007269F2"/>
    <w:rsid w:val="00755190"/>
    <w:rsid w:val="00780DFE"/>
    <w:rsid w:val="007920D9"/>
    <w:rsid w:val="007B7288"/>
    <w:rsid w:val="00815198"/>
    <w:rsid w:val="00815365"/>
    <w:rsid w:val="0081639F"/>
    <w:rsid w:val="008332CB"/>
    <w:rsid w:val="0084602C"/>
    <w:rsid w:val="00880ABD"/>
    <w:rsid w:val="008F68B6"/>
    <w:rsid w:val="00912EDA"/>
    <w:rsid w:val="00935695"/>
    <w:rsid w:val="009734FE"/>
    <w:rsid w:val="00986650"/>
    <w:rsid w:val="00A069E2"/>
    <w:rsid w:val="00A968FE"/>
    <w:rsid w:val="00AA3AD6"/>
    <w:rsid w:val="00AF5B6E"/>
    <w:rsid w:val="00B0341C"/>
    <w:rsid w:val="00B516B7"/>
    <w:rsid w:val="00B54B43"/>
    <w:rsid w:val="00B86724"/>
    <w:rsid w:val="00B875ED"/>
    <w:rsid w:val="00C16E8D"/>
    <w:rsid w:val="00C428DA"/>
    <w:rsid w:val="00C86FAA"/>
    <w:rsid w:val="00C9551F"/>
    <w:rsid w:val="00CC7791"/>
    <w:rsid w:val="00CD46D2"/>
    <w:rsid w:val="00D55EAD"/>
    <w:rsid w:val="00D64CD1"/>
    <w:rsid w:val="00D66241"/>
    <w:rsid w:val="00D73C82"/>
    <w:rsid w:val="00D77B93"/>
    <w:rsid w:val="00DD1D86"/>
    <w:rsid w:val="00DE13D2"/>
    <w:rsid w:val="00E41A5F"/>
    <w:rsid w:val="00E424B6"/>
    <w:rsid w:val="00E51E5B"/>
    <w:rsid w:val="00E86C3C"/>
    <w:rsid w:val="00EC0FEF"/>
    <w:rsid w:val="00EC4BB0"/>
    <w:rsid w:val="00EF6BA8"/>
    <w:rsid w:val="00F2360A"/>
    <w:rsid w:val="00F2449B"/>
    <w:rsid w:val="00F62CE4"/>
    <w:rsid w:val="00F72B04"/>
    <w:rsid w:val="00F92E7B"/>
    <w:rsid w:val="00FC7A8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6F815F"/>
  <w15:docId w15:val="{A62459DC-5FD7-46A6-A34C-E66C19CA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apple-converted-space">
    <w:name w:val="apple-converted-space"/>
    <w:rsid w:val="00473910"/>
  </w:style>
  <w:style w:type="character" w:styleId="Refdecomentrio">
    <w:name w:val="annotation reference"/>
    <w:uiPriority w:val="99"/>
    <w:semiHidden/>
    <w:unhideWhenUsed/>
    <w:rsid w:val="00935695"/>
    <w:rPr>
      <w:sz w:val="18"/>
      <w:szCs w:val="18"/>
    </w:rPr>
  </w:style>
  <w:style w:type="paragraph" w:styleId="Textodecomentrio">
    <w:name w:val="annotation text"/>
    <w:basedOn w:val="Normal"/>
    <w:link w:val="TextodecomentrioChar"/>
    <w:uiPriority w:val="99"/>
    <w:semiHidden/>
    <w:unhideWhenUsed/>
    <w:rsid w:val="00935695"/>
    <w:rPr>
      <w:szCs w:val="24"/>
    </w:rPr>
  </w:style>
  <w:style w:type="character" w:customStyle="1" w:styleId="TextodecomentrioChar">
    <w:name w:val="Texto de comentário Char"/>
    <w:link w:val="Textodecomentrio"/>
    <w:uiPriority w:val="99"/>
    <w:semiHidden/>
    <w:rsid w:val="00935695"/>
    <w:rPr>
      <w:sz w:val="24"/>
      <w:szCs w:val="24"/>
      <w:lang w:eastAsia="en-US"/>
    </w:rPr>
  </w:style>
  <w:style w:type="paragraph" w:styleId="Assuntodocomentrio">
    <w:name w:val="annotation subject"/>
    <w:basedOn w:val="Textodecomentrio"/>
    <w:next w:val="Textodecomentrio"/>
    <w:link w:val="AssuntodocomentrioChar"/>
    <w:uiPriority w:val="99"/>
    <w:semiHidden/>
    <w:unhideWhenUsed/>
    <w:rsid w:val="00935695"/>
    <w:rPr>
      <w:b/>
      <w:bCs/>
      <w:sz w:val="20"/>
      <w:szCs w:val="20"/>
    </w:rPr>
  </w:style>
  <w:style w:type="character" w:customStyle="1" w:styleId="AssuntodocomentrioChar">
    <w:name w:val="Assunto do comentário Char"/>
    <w:link w:val="Assuntodocomentrio"/>
    <w:uiPriority w:val="99"/>
    <w:semiHidden/>
    <w:rsid w:val="0093569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cegoudinho@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atsoft.com" TargetMode="Externa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2788</Words>
  <Characters>15061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17814</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Usuário do Windows</cp:lastModifiedBy>
  <cp:revision>15</cp:revision>
  <dcterms:created xsi:type="dcterms:W3CDTF">2017-07-17T15:03:00Z</dcterms:created>
  <dcterms:modified xsi:type="dcterms:W3CDTF">2017-08-20T12:31:00Z</dcterms:modified>
</cp:coreProperties>
</file>