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C9" w:rsidRPr="00706E0D" w:rsidRDefault="00DE49DD" w:rsidP="003270C9">
      <w:pPr>
        <w:jc w:val="center"/>
        <w:rPr>
          <w:b/>
          <w:caps/>
          <w:szCs w:val="24"/>
        </w:rPr>
      </w:pPr>
      <w:r w:rsidRPr="00DE49DD">
        <w:rPr>
          <w:b/>
          <w:caps/>
          <w:szCs w:val="24"/>
        </w:rPr>
        <w:t>PROBIÓTICO (</w:t>
      </w:r>
      <w:r>
        <w:rPr>
          <w:b/>
          <w:i/>
          <w:szCs w:val="24"/>
        </w:rPr>
        <w:t>Bacillus subtilis e B</w:t>
      </w:r>
      <w:r w:rsidRPr="00DE49DD">
        <w:rPr>
          <w:b/>
          <w:i/>
          <w:szCs w:val="24"/>
        </w:rPr>
        <w:t>acillus cereus</w:t>
      </w:r>
      <w:r>
        <w:rPr>
          <w:b/>
          <w:caps/>
          <w:szCs w:val="24"/>
        </w:rPr>
        <w:t>) EM DIETAS para</w:t>
      </w:r>
      <w:r w:rsidRPr="00DE49DD">
        <w:rPr>
          <w:b/>
          <w:caps/>
          <w:szCs w:val="24"/>
        </w:rPr>
        <w:t xml:space="preserve"> </w:t>
      </w:r>
      <w:r w:rsidRPr="00DE49DD">
        <w:rPr>
          <w:b/>
          <w:i/>
          <w:szCs w:val="24"/>
        </w:rPr>
        <w:t>Rhamdia quelen</w:t>
      </w:r>
      <w:r w:rsidRPr="00DE49DD">
        <w:rPr>
          <w:b/>
          <w:szCs w:val="24"/>
        </w:rPr>
        <w:t xml:space="preserve"> </w:t>
      </w:r>
      <w:r w:rsidRPr="00DE49DD">
        <w:rPr>
          <w:b/>
          <w:caps/>
          <w:szCs w:val="24"/>
        </w:rPr>
        <w:t>SOBRE OS ÍNDICES SOMÁTICOS</w:t>
      </w:r>
      <w:r w:rsidR="005141DF">
        <w:rPr>
          <w:b/>
          <w:caps/>
          <w:szCs w:val="24"/>
        </w:rPr>
        <w:t xml:space="preserve"> e coeficiente intestinal</w:t>
      </w:r>
    </w:p>
    <w:p w:rsidR="00886FD7" w:rsidRPr="00886FD7" w:rsidRDefault="00886FD7" w:rsidP="00886F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t-BR"/>
        </w:rPr>
      </w:pPr>
      <w:r w:rsidRPr="00886FD7">
        <w:rPr>
          <w:rFonts w:eastAsia="Times New Roman"/>
          <w:sz w:val="20"/>
          <w:szCs w:val="20"/>
          <w:lang w:eastAsia="pt-BR"/>
        </w:rPr>
        <w:t>Mariana Rodrigues Lins</w:t>
      </w:r>
      <w:r w:rsidRPr="00886FD7">
        <w:rPr>
          <w:rFonts w:eastAsia="Times New Roman"/>
          <w:sz w:val="20"/>
          <w:szCs w:val="20"/>
          <w:vertAlign w:val="superscript"/>
          <w:lang w:eastAsia="pt-BR"/>
        </w:rPr>
        <w:t>1</w:t>
      </w:r>
      <w:r w:rsidR="00845571">
        <w:rPr>
          <w:rFonts w:eastAsia="Times New Roman"/>
          <w:sz w:val="20"/>
          <w:szCs w:val="20"/>
          <w:vertAlign w:val="superscript"/>
          <w:lang w:eastAsia="pt-BR"/>
        </w:rPr>
        <w:t>,3</w:t>
      </w:r>
      <w:r w:rsidRPr="00886FD7">
        <w:rPr>
          <w:rFonts w:eastAsia="Times New Roman"/>
          <w:sz w:val="20"/>
          <w:szCs w:val="20"/>
          <w:lang w:eastAsia="pt-BR"/>
        </w:rPr>
        <w:t xml:space="preserve">*; </w:t>
      </w:r>
      <w:r w:rsidR="00845571" w:rsidRPr="00845571">
        <w:rPr>
          <w:sz w:val="20"/>
          <w:szCs w:val="20"/>
        </w:rPr>
        <w:t>Danielle Zanerato Damaceno</w:t>
      </w:r>
      <w:r w:rsidR="00845571">
        <w:rPr>
          <w:sz w:val="20"/>
          <w:szCs w:val="20"/>
          <w:vertAlign w:val="superscript"/>
        </w:rPr>
        <w:t>2</w:t>
      </w:r>
      <w:r w:rsidRPr="00886FD7">
        <w:rPr>
          <w:rFonts w:eastAsia="Times New Roman"/>
          <w:sz w:val="20"/>
          <w:szCs w:val="20"/>
          <w:lang w:eastAsia="pt-BR"/>
        </w:rPr>
        <w:t>;</w:t>
      </w:r>
      <w:r>
        <w:rPr>
          <w:rFonts w:eastAsia="Times New Roman"/>
          <w:sz w:val="20"/>
          <w:szCs w:val="20"/>
          <w:lang w:eastAsia="pt-BR"/>
        </w:rPr>
        <w:t xml:space="preserve"> Fábio Bittencourt</w:t>
      </w:r>
      <w:r w:rsidRPr="00886FD7">
        <w:rPr>
          <w:rFonts w:eastAsia="Times New Roman"/>
          <w:sz w:val="20"/>
          <w:szCs w:val="20"/>
          <w:vertAlign w:val="superscript"/>
          <w:lang w:eastAsia="pt-BR"/>
        </w:rPr>
        <w:t>4</w:t>
      </w:r>
      <w:r w:rsidR="00A44667">
        <w:rPr>
          <w:rFonts w:eastAsia="Times New Roman"/>
          <w:sz w:val="20"/>
          <w:szCs w:val="20"/>
          <w:lang w:eastAsia="pt-BR"/>
        </w:rPr>
        <w:t>;</w:t>
      </w:r>
      <w:r>
        <w:rPr>
          <w:rFonts w:eastAsia="Times New Roman"/>
          <w:sz w:val="20"/>
          <w:szCs w:val="20"/>
          <w:lang w:eastAsia="pt-BR"/>
        </w:rPr>
        <w:t xml:space="preserve"> </w:t>
      </w:r>
      <w:r w:rsidR="00092CF1">
        <w:rPr>
          <w:rFonts w:eastAsia="Times New Roman"/>
          <w:sz w:val="20"/>
          <w:szCs w:val="20"/>
          <w:lang w:eastAsia="pt-BR"/>
        </w:rPr>
        <w:t>Wilson Rogério Boscolo</w:t>
      </w:r>
      <w:r w:rsidR="00092CF1" w:rsidRPr="00092CF1">
        <w:rPr>
          <w:rFonts w:eastAsia="Times New Roman"/>
          <w:sz w:val="20"/>
          <w:szCs w:val="20"/>
          <w:vertAlign w:val="superscript"/>
          <w:lang w:eastAsia="pt-BR"/>
        </w:rPr>
        <w:t>4</w:t>
      </w:r>
      <w:r w:rsidR="00A44667">
        <w:rPr>
          <w:rFonts w:eastAsia="Times New Roman"/>
          <w:sz w:val="20"/>
          <w:szCs w:val="20"/>
          <w:lang w:eastAsia="pt-BR"/>
        </w:rPr>
        <w:t>;</w:t>
      </w:r>
      <w:bookmarkStart w:id="0" w:name="_GoBack"/>
      <w:bookmarkEnd w:id="0"/>
      <w:r w:rsidR="00092CF1">
        <w:rPr>
          <w:rFonts w:eastAsia="Times New Roman"/>
          <w:sz w:val="20"/>
          <w:szCs w:val="20"/>
          <w:lang w:eastAsia="pt-BR"/>
        </w:rPr>
        <w:t xml:space="preserve"> </w:t>
      </w:r>
      <w:r w:rsidRPr="00886FD7">
        <w:rPr>
          <w:rFonts w:eastAsia="Times New Roman"/>
          <w:sz w:val="20"/>
          <w:szCs w:val="20"/>
          <w:lang w:eastAsia="pt-BR"/>
        </w:rPr>
        <w:t>Altevir Signor</w:t>
      </w:r>
      <w:r w:rsidRPr="00886FD7">
        <w:rPr>
          <w:rFonts w:eastAsia="Times New Roman"/>
          <w:sz w:val="20"/>
          <w:szCs w:val="20"/>
          <w:vertAlign w:val="superscript"/>
          <w:lang w:eastAsia="pt-BR"/>
        </w:rPr>
        <w:t>4</w:t>
      </w:r>
    </w:p>
    <w:p w:rsidR="00886FD7" w:rsidRPr="00886FD7" w:rsidRDefault="00886FD7" w:rsidP="00886F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3270C9" w:rsidRPr="00886FD7" w:rsidRDefault="006760F2" w:rsidP="00886FD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hyperlink r:id="rId6" w:history="1">
        <w:r w:rsidR="00D73C99" w:rsidRPr="00C0754F">
          <w:rPr>
            <w:rStyle w:val="Hyperlink"/>
            <w:rFonts w:eastAsia="Times New Roman"/>
            <w:sz w:val="20"/>
            <w:szCs w:val="20"/>
            <w:vertAlign w:val="superscript"/>
            <w:lang w:eastAsia="pt-BR"/>
          </w:rPr>
          <w:t xml:space="preserve">1,3* </w:t>
        </w:r>
        <w:r w:rsidR="00D73C99" w:rsidRPr="00C0754F">
          <w:rPr>
            <w:rStyle w:val="Hyperlink"/>
            <w:rFonts w:eastAsia="Times New Roman"/>
            <w:sz w:val="20"/>
            <w:szCs w:val="20"/>
            <w:lang w:eastAsia="pt-BR"/>
          </w:rPr>
          <w:t>lins.mariana@hotmail.com</w:t>
        </w:r>
      </w:hyperlink>
      <w:r w:rsidR="00886FD7" w:rsidRPr="00886FD7">
        <w:rPr>
          <w:rFonts w:eastAsia="Times New Roman"/>
          <w:sz w:val="20"/>
          <w:szCs w:val="20"/>
          <w:lang w:eastAsia="pt-BR"/>
        </w:rPr>
        <w:t xml:space="preserve">, Grupo de Estudos de Manejo na Aquicultura – GEMAq, Rua da Faculdade, 645 - Cx. P. 320 - Jd. Santa Maria - Toledo - PR; </w:t>
      </w:r>
      <w:r w:rsidR="00313159">
        <w:rPr>
          <w:rFonts w:eastAsia="Times New Roman"/>
          <w:sz w:val="20"/>
          <w:szCs w:val="20"/>
          <w:vertAlign w:val="superscript"/>
          <w:lang w:eastAsia="pt-BR"/>
        </w:rPr>
        <w:t>2</w:t>
      </w:r>
      <w:r w:rsidR="00886FD7" w:rsidRPr="00886FD7">
        <w:rPr>
          <w:rFonts w:eastAsia="Times New Roman"/>
          <w:sz w:val="20"/>
          <w:szCs w:val="20"/>
          <w:lang w:eastAsia="pt-BR"/>
        </w:rPr>
        <w:t>PPG Aquicultura da Universidade Estadual Paulista “Júlio de Mesquita Filho” – Jaboticabal – SP.</w:t>
      </w:r>
      <w:r w:rsidR="00313159" w:rsidRPr="00313159">
        <w:rPr>
          <w:rFonts w:eastAsia="Times New Roman"/>
          <w:sz w:val="20"/>
          <w:szCs w:val="20"/>
          <w:vertAlign w:val="superscript"/>
          <w:lang w:eastAsia="pt-BR"/>
        </w:rPr>
        <w:t xml:space="preserve"> </w:t>
      </w:r>
      <w:r w:rsidR="00313159">
        <w:rPr>
          <w:rFonts w:eastAsia="Times New Roman"/>
          <w:sz w:val="20"/>
          <w:szCs w:val="20"/>
          <w:vertAlign w:val="superscript"/>
          <w:lang w:eastAsia="pt-BR"/>
        </w:rPr>
        <w:t>3</w:t>
      </w:r>
      <w:r w:rsidR="00313159" w:rsidRPr="00886FD7">
        <w:rPr>
          <w:rFonts w:eastAsia="Times New Roman"/>
          <w:sz w:val="20"/>
          <w:szCs w:val="20"/>
          <w:lang w:eastAsia="pt-BR"/>
        </w:rPr>
        <w:t xml:space="preserve">PPG em Recursos Pesqueiros e Engenharia de Pesca da Universidade Estadual do Oeste do Paraná; </w:t>
      </w:r>
      <w:r w:rsidR="00886FD7" w:rsidRPr="00313159">
        <w:rPr>
          <w:rFonts w:eastAsia="Times New Roman"/>
          <w:sz w:val="20"/>
          <w:szCs w:val="20"/>
          <w:vertAlign w:val="superscript"/>
          <w:lang w:eastAsia="pt-BR"/>
        </w:rPr>
        <w:t>4</w:t>
      </w:r>
      <w:r w:rsidR="00886FD7" w:rsidRPr="00886FD7">
        <w:rPr>
          <w:rFonts w:eastAsia="Times New Roman"/>
          <w:sz w:val="20"/>
          <w:szCs w:val="20"/>
          <w:lang w:eastAsia="pt-BR"/>
        </w:rPr>
        <w:t>Docente Universidade Estadual do Oeste do Paraná e do PPG em Recursos Pesqueiros e Engenharia de Pesca Unioeste/Toledo, Paraná.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Pr="00795263" w:rsidRDefault="005141DF" w:rsidP="00D77173">
      <w:pPr>
        <w:tabs>
          <w:tab w:val="left" w:pos="4140"/>
        </w:tabs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5141DF">
        <w:rPr>
          <w:szCs w:val="24"/>
        </w:rPr>
        <w:t>O uso de probióticos na piscicultura como suplementos alimentares proporciona</w:t>
      </w:r>
      <w:r>
        <w:rPr>
          <w:szCs w:val="24"/>
        </w:rPr>
        <w:t>m</w:t>
      </w:r>
      <w:r w:rsidRPr="005141DF">
        <w:rPr>
          <w:szCs w:val="24"/>
        </w:rPr>
        <w:t xml:space="preserve"> melhor eficiência na absorção dos nutrientes das dietas, refletindo no melhor crescimento e conseq</w:t>
      </w:r>
      <w:r>
        <w:rPr>
          <w:szCs w:val="24"/>
        </w:rPr>
        <w:t xml:space="preserve">uentemente na saúde dos peixes. </w:t>
      </w:r>
      <w:r w:rsidRPr="005141DF">
        <w:rPr>
          <w:szCs w:val="24"/>
        </w:rPr>
        <w:t>Composto por microrganismos vivos, atuam no intestino do hospedeiro proporcionando o equilíbrio da microbiota, com melhor</w:t>
      </w:r>
      <w:r>
        <w:rPr>
          <w:szCs w:val="24"/>
        </w:rPr>
        <w:t xml:space="preserve">es efeitos no bem-estar animal, </w:t>
      </w:r>
      <w:r w:rsidRPr="005141DF">
        <w:rPr>
          <w:szCs w:val="24"/>
        </w:rPr>
        <w:t xml:space="preserve">sistema imunológico, </w:t>
      </w:r>
      <w:r>
        <w:rPr>
          <w:szCs w:val="24"/>
        </w:rPr>
        <w:t>crescimento, digestibilidade e absorção de nutrientes. Nesse sentido, o</w:t>
      </w:r>
      <w:r w:rsidR="00AB1AB8" w:rsidRPr="00AB1AB8">
        <w:rPr>
          <w:szCs w:val="24"/>
        </w:rPr>
        <w:t xml:space="preserve"> objetivo </w:t>
      </w:r>
      <w:r>
        <w:rPr>
          <w:szCs w:val="24"/>
        </w:rPr>
        <w:t>deste estudo foi avaliar os índices somáticos, coeficiente e peso relativo intestina</w:t>
      </w:r>
      <w:r w:rsidR="00795263">
        <w:rPr>
          <w:szCs w:val="24"/>
        </w:rPr>
        <w:t>l</w:t>
      </w:r>
      <w:r>
        <w:rPr>
          <w:szCs w:val="24"/>
        </w:rPr>
        <w:t xml:space="preserve"> em</w:t>
      </w:r>
      <w:r w:rsidR="00AB1AB8" w:rsidRPr="00AB1AB8">
        <w:rPr>
          <w:szCs w:val="24"/>
        </w:rPr>
        <w:t xml:space="preserve"> jundiá </w:t>
      </w:r>
      <w:r w:rsidR="00AB1AB8" w:rsidRPr="00AB1AB8">
        <w:rPr>
          <w:i/>
          <w:szCs w:val="24"/>
        </w:rPr>
        <w:t>Rhamdia quelen</w:t>
      </w:r>
      <w:r w:rsidR="00AB1AB8" w:rsidRPr="00AB1AB8">
        <w:rPr>
          <w:szCs w:val="24"/>
        </w:rPr>
        <w:t xml:space="preserve"> alimentados com dietas contendo níveis crescentes de suplementação de probiótico (</w:t>
      </w:r>
      <w:r w:rsidR="00AB1AB8" w:rsidRPr="00AB1AB8">
        <w:rPr>
          <w:i/>
          <w:szCs w:val="24"/>
        </w:rPr>
        <w:t>Bacillus subtilis e Bacillus cereus).</w:t>
      </w:r>
      <w:r w:rsidR="00AB1AB8">
        <w:rPr>
          <w:i/>
          <w:szCs w:val="24"/>
        </w:rPr>
        <w:t xml:space="preserve"> </w:t>
      </w:r>
      <w:r w:rsidR="00AB1AB8" w:rsidRPr="007571BD">
        <w:rPr>
          <w:szCs w:val="24"/>
        </w:rPr>
        <w:t>Foram utilizados 300 juvenis de jundiá com peso inicial médio 17,35±0,97g, distribuídos aleatoriamente em 20 tanques-rede de 1m</w:t>
      </w:r>
      <w:r w:rsidR="00AB1AB8" w:rsidRPr="007571BD">
        <w:rPr>
          <w:szCs w:val="24"/>
          <w:vertAlign w:val="superscript"/>
        </w:rPr>
        <w:t xml:space="preserve">3 </w:t>
      </w:r>
      <w:r w:rsidR="00AB1AB8" w:rsidRPr="007571BD">
        <w:rPr>
          <w:szCs w:val="24"/>
        </w:rPr>
        <w:t>(densidade de 15 peixes/m</w:t>
      </w:r>
      <w:r w:rsidR="00AB1AB8" w:rsidRPr="007571BD">
        <w:rPr>
          <w:szCs w:val="24"/>
          <w:vertAlign w:val="superscript"/>
        </w:rPr>
        <w:t>3</w:t>
      </w:r>
      <w:r w:rsidR="00AB1AB8" w:rsidRPr="007571BD">
        <w:rPr>
          <w:szCs w:val="24"/>
        </w:rPr>
        <w:t>) instalados no interior de um tanque de alvenaria com capacidade de 200 m</w:t>
      </w:r>
      <w:r w:rsidR="00AB1AB8" w:rsidRPr="007571BD">
        <w:rPr>
          <w:szCs w:val="24"/>
          <w:vertAlign w:val="superscript"/>
        </w:rPr>
        <w:t>3</w:t>
      </w:r>
      <w:r w:rsidR="00AB1AB8" w:rsidRPr="007571BD">
        <w:rPr>
          <w:szCs w:val="24"/>
        </w:rPr>
        <w:t xml:space="preserve"> de água. A duração experimental foi de 90 dias, em que os peixes foram alimentados quatro vezes por dia </w:t>
      </w:r>
      <w:r w:rsidR="00AB1AB8" w:rsidRPr="000336E4">
        <w:rPr>
          <w:szCs w:val="24"/>
        </w:rPr>
        <w:t>(08h0min, 12h00min, 14h00min e 17h00min)</w:t>
      </w:r>
      <w:r w:rsidR="00AB1AB8">
        <w:rPr>
          <w:szCs w:val="24"/>
        </w:rPr>
        <w:t xml:space="preserve"> </w:t>
      </w:r>
      <w:r w:rsidR="00AB1AB8" w:rsidRPr="007571BD">
        <w:rPr>
          <w:szCs w:val="24"/>
        </w:rPr>
        <w:t xml:space="preserve">com cinco com dietas </w:t>
      </w:r>
      <w:r w:rsidR="00AB1AB8" w:rsidRPr="00AB1AB8">
        <w:rPr>
          <w:color w:val="000000"/>
          <w:szCs w:val="24"/>
        </w:rPr>
        <w:t xml:space="preserve">isoproteicas (32% de Proteína bruta) e isoenergéticas (3.200Kcal de energia digestível) níveis crescentes de suplementação de probiótico (0,015; 0,030; 0,045 e; 0,060 % de </w:t>
      </w:r>
      <w:r w:rsidR="00AB1AB8" w:rsidRPr="00AB1AB8">
        <w:rPr>
          <w:i/>
          <w:color w:val="000000"/>
          <w:szCs w:val="24"/>
        </w:rPr>
        <w:t xml:space="preserve">Bacillus subtilis </w:t>
      </w:r>
      <w:r w:rsidR="00AB1AB8" w:rsidRPr="00AB1AB8">
        <w:rPr>
          <w:color w:val="000000"/>
          <w:szCs w:val="24"/>
        </w:rPr>
        <w:t xml:space="preserve">e </w:t>
      </w:r>
      <w:r w:rsidR="00AB1AB8" w:rsidRPr="00AB1AB8">
        <w:rPr>
          <w:i/>
          <w:color w:val="000000"/>
          <w:szCs w:val="24"/>
        </w:rPr>
        <w:t>Bacillus cereus</w:t>
      </w:r>
      <w:r w:rsidR="00AB1AB8" w:rsidRPr="00AB1AB8">
        <w:rPr>
          <w:color w:val="000000"/>
          <w:szCs w:val="24"/>
        </w:rPr>
        <w:t xml:space="preserve"> na concentração de 4x10</w:t>
      </w:r>
      <w:r w:rsidR="00AB1AB8" w:rsidRPr="00AB1AB8">
        <w:rPr>
          <w:color w:val="000000"/>
          <w:szCs w:val="24"/>
          <w:vertAlign w:val="superscript"/>
        </w:rPr>
        <w:t>11</w:t>
      </w:r>
      <w:r w:rsidR="00AB1AB8" w:rsidRPr="00AB1AB8">
        <w:rPr>
          <w:color w:val="000000"/>
          <w:szCs w:val="24"/>
        </w:rPr>
        <w:t xml:space="preserve"> UFC/Kg na ração) e uma dieta controle (sem probiótico). No final do período experimental os peixes foram </w:t>
      </w:r>
      <w:r w:rsidR="00AB1AB8">
        <w:rPr>
          <w:color w:val="000000"/>
          <w:szCs w:val="24"/>
        </w:rPr>
        <w:t xml:space="preserve">eutanasiados em solução contendo </w:t>
      </w:r>
      <w:r w:rsidR="00AB1AB8" w:rsidRPr="00AB1AB8">
        <w:rPr>
          <w:color w:val="000000"/>
          <w:szCs w:val="24"/>
        </w:rPr>
        <w:t>250</w:t>
      </w:r>
      <w:r w:rsidR="00AB1AB8">
        <w:rPr>
          <w:color w:val="000000"/>
          <w:szCs w:val="24"/>
        </w:rPr>
        <w:t xml:space="preserve"> mg.</w:t>
      </w:r>
      <w:r w:rsidR="00AB1AB8" w:rsidRPr="00AB1AB8">
        <w:rPr>
          <w:color w:val="000000"/>
          <w:szCs w:val="24"/>
        </w:rPr>
        <w:t>L</w:t>
      </w:r>
      <w:r w:rsidR="00AB1AB8" w:rsidRPr="00AB1AB8">
        <w:rPr>
          <w:color w:val="000000"/>
          <w:szCs w:val="24"/>
          <w:vertAlign w:val="superscript"/>
        </w:rPr>
        <w:t>-1</w:t>
      </w:r>
      <w:r w:rsidR="00AB1AB8">
        <w:rPr>
          <w:color w:val="000000"/>
          <w:szCs w:val="24"/>
          <w:vertAlign w:val="superscript"/>
        </w:rPr>
        <w:t xml:space="preserve"> </w:t>
      </w:r>
      <w:r w:rsidR="00AB1AB8" w:rsidRPr="00AB1AB8">
        <w:rPr>
          <w:color w:val="000000"/>
          <w:szCs w:val="24"/>
        </w:rPr>
        <w:t xml:space="preserve">de </w:t>
      </w:r>
      <w:r w:rsidR="00AB1AB8">
        <w:rPr>
          <w:color w:val="000000"/>
          <w:szCs w:val="24"/>
        </w:rPr>
        <w:t>benzocaína</w:t>
      </w:r>
      <w:r w:rsidR="00AB1AB8" w:rsidRPr="00AB1AB8">
        <w:rPr>
          <w:color w:val="000000"/>
          <w:szCs w:val="24"/>
        </w:rPr>
        <w:t>, medidos, pesados e coletados tecidos os ​​</w:t>
      </w:r>
      <w:r w:rsidR="00852FA9">
        <w:rPr>
          <w:color w:val="000000"/>
          <w:szCs w:val="24"/>
        </w:rPr>
        <w:t xml:space="preserve">para mensurar os parâmetros: </w:t>
      </w:r>
      <w:r w:rsidR="00AB1AB8" w:rsidRPr="00AB1AB8">
        <w:rPr>
          <w:color w:val="000000"/>
          <w:szCs w:val="24"/>
        </w:rPr>
        <w:t xml:space="preserve">índice </w:t>
      </w:r>
      <w:r w:rsidR="007E3B36">
        <w:rPr>
          <w:color w:val="000000"/>
          <w:szCs w:val="24"/>
        </w:rPr>
        <w:t>gordura viceros</w:t>
      </w:r>
      <w:r>
        <w:rPr>
          <w:color w:val="000000"/>
          <w:szCs w:val="24"/>
        </w:rPr>
        <w:t>somática (IGVS),</w:t>
      </w:r>
      <w:r w:rsidR="007E3B36">
        <w:rPr>
          <w:color w:val="000000"/>
          <w:szCs w:val="24"/>
        </w:rPr>
        <w:t xml:space="preserve"> índice hepatos</w:t>
      </w:r>
      <w:r w:rsidR="00AB1AB8" w:rsidRPr="00AB1AB8">
        <w:rPr>
          <w:color w:val="000000"/>
          <w:szCs w:val="24"/>
        </w:rPr>
        <w:t>somático (IHS)</w:t>
      </w:r>
      <w:r>
        <w:rPr>
          <w:color w:val="000000"/>
          <w:szCs w:val="24"/>
        </w:rPr>
        <w:t>, Coeficiente intestinal (Coef I) e peso relativo intestinal (PRI)</w:t>
      </w:r>
      <w:r w:rsidR="00AB1AB8" w:rsidRPr="00AB1AB8">
        <w:rPr>
          <w:color w:val="000000"/>
          <w:szCs w:val="24"/>
        </w:rPr>
        <w:t>.</w:t>
      </w:r>
      <w:r w:rsidR="00CB0309">
        <w:rPr>
          <w:color w:val="000000"/>
          <w:szCs w:val="24"/>
        </w:rPr>
        <w:t xml:space="preserve"> </w:t>
      </w:r>
      <w:r w:rsidR="0070377C" w:rsidRPr="0070377C">
        <w:rPr>
          <w:color w:val="000000"/>
          <w:szCs w:val="24"/>
        </w:rPr>
        <w:t xml:space="preserve">Os dados obtidos foram submetidos a ANOVA e posteriormente ao teste de </w:t>
      </w:r>
      <w:r w:rsidR="007E3B36">
        <w:rPr>
          <w:color w:val="000000"/>
          <w:szCs w:val="24"/>
        </w:rPr>
        <w:t>Duncan</w:t>
      </w:r>
      <w:r w:rsidR="0070377C" w:rsidRPr="0070377C">
        <w:rPr>
          <w:color w:val="000000"/>
          <w:szCs w:val="24"/>
        </w:rPr>
        <w:t xml:space="preserve"> a 5% de significância.</w:t>
      </w:r>
      <w:r w:rsidR="007E3B36">
        <w:rPr>
          <w:rFonts w:eastAsiaTheme="minorHAnsi"/>
          <w:szCs w:val="24"/>
        </w:rPr>
        <w:t xml:space="preserve"> </w:t>
      </w:r>
      <w:r w:rsidR="007E3B36">
        <w:rPr>
          <w:color w:val="000000"/>
          <w:szCs w:val="24"/>
        </w:rPr>
        <w:t xml:space="preserve">As variáveis </w:t>
      </w:r>
      <w:r w:rsidR="00D77173">
        <w:rPr>
          <w:color w:val="000000"/>
          <w:szCs w:val="24"/>
        </w:rPr>
        <w:t>IHS</w:t>
      </w:r>
      <w:r w:rsidR="007E3B36">
        <w:rPr>
          <w:color w:val="000000"/>
          <w:szCs w:val="24"/>
        </w:rPr>
        <w:t xml:space="preserve">, Coef I e PRI não apresentaram diferenças significativas entre os tratamentos (p&gt;0,05), apresentando </w:t>
      </w:r>
      <w:r w:rsidR="000A4A4D">
        <w:rPr>
          <w:color w:val="000000"/>
          <w:szCs w:val="24"/>
        </w:rPr>
        <w:t xml:space="preserve">IHS médio de </w:t>
      </w:r>
      <w:r w:rsidR="007E3B36">
        <w:rPr>
          <w:color w:val="000000"/>
          <w:szCs w:val="24"/>
        </w:rPr>
        <w:t xml:space="preserve">1,77±0,35%, </w:t>
      </w:r>
      <w:r w:rsidR="000A4A4D">
        <w:rPr>
          <w:color w:val="000000"/>
          <w:szCs w:val="24"/>
        </w:rPr>
        <w:t>Coef I médio de 0,54±0,17cm e PRI médio 0,79±0,06g</w:t>
      </w:r>
      <w:r w:rsidR="00795263">
        <w:rPr>
          <w:color w:val="000000"/>
          <w:szCs w:val="24"/>
        </w:rPr>
        <w:t>, respectivamente</w:t>
      </w:r>
      <w:r w:rsidR="000A4A4D">
        <w:rPr>
          <w:color w:val="000000"/>
          <w:szCs w:val="24"/>
        </w:rPr>
        <w:t xml:space="preserve">. Para o IGVS houve diferença significativa entre os níveis de suplementação. </w:t>
      </w:r>
      <w:r w:rsidR="00D77173">
        <w:rPr>
          <w:color w:val="000000"/>
          <w:szCs w:val="24"/>
        </w:rPr>
        <w:t>Ocorreu a</w:t>
      </w:r>
      <w:r w:rsidR="00AA67A3">
        <w:rPr>
          <w:color w:val="000000"/>
          <w:szCs w:val="24"/>
        </w:rPr>
        <w:t xml:space="preserve"> redução </w:t>
      </w:r>
      <w:r w:rsidR="000A4A4D">
        <w:rPr>
          <w:color w:val="000000"/>
          <w:szCs w:val="24"/>
        </w:rPr>
        <w:t>(p</w:t>
      </w:r>
      <w:r w:rsidR="00AA67A3" w:rsidRPr="0070377C">
        <w:rPr>
          <w:color w:val="000000"/>
          <w:szCs w:val="24"/>
        </w:rPr>
        <w:t>&lt;0,05)</w:t>
      </w:r>
      <w:r w:rsidR="00AA67A3">
        <w:rPr>
          <w:color w:val="000000"/>
          <w:szCs w:val="24"/>
        </w:rPr>
        <w:t xml:space="preserve"> do IGVS em </w:t>
      </w:r>
      <w:r w:rsidR="00D77173">
        <w:rPr>
          <w:color w:val="000000"/>
          <w:szCs w:val="24"/>
        </w:rPr>
        <w:t>jundiás</w:t>
      </w:r>
      <w:r w:rsidR="00AA67A3">
        <w:rPr>
          <w:color w:val="000000"/>
          <w:szCs w:val="24"/>
        </w:rPr>
        <w:t xml:space="preserve"> alimentados com dietas contendo 0,0</w:t>
      </w:r>
      <w:r w:rsidR="00F61797">
        <w:rPr>
          <w:color w:val="000000"/>
          <w:szCs w:val="24"/>
        </w:rPr>
        <w:t>60</w:t>
      </w:r>
      <w:r w:rsidR="00AA67A3" w:rsidRPr="00AB1AB8">
        <w:rPr>
          <w:color w:val="000000"/>
          <w:szCs w:val="24"/>
        </w:rPr>
        <w:t>%</w:t>
      </w:r>
      <w:r w:rsidR="00AA67A3">
        <w:rPr>
          <w:color w:val="000000"/>
          <w:szCs w:val="24"/>
        </w:rPr>
        <w:t xml:space="preserve"> de probiótico em relação ao</w:t>
      </w:r>
      <w:r w:rsidR="00F61797">
        <w:rPr>
          <w:color w:val="000000"/>
          <w:szCs w:val="24"/>
        </w:rPr>
        <w:t xml:space="preserve"> tratamento controle e demais níveis de suplementação</w:t>
      </w:r>
      <w:r w:rsidR="00AA67A3">
        <w:rPr>
          <w:color w:val="000000"/>
          <w:szCs w:val="24"/>
        </w:rPr>
        <w:t xml:space="preserve">, </w:t>
      </w:r>
      <w:r w:rsidR="000A4A4D">
        <w:rPr>
          <w:color w:val="000000"/>
          <w:szCs w:val="24"/>
        </w:rPr>
        <w:t>apresentando valor</w:t>
      </w:r>
      <w:r w:rsidR="00F61797">
        <w:rPr>
          <w:color w:val="000000"/>
          <w:szCs w:val="24"/>
        </w:rPr>
        <w:t xml:space="preserve"> </w:t>
      </w:r>
      <w:r w:rsidR="00AA67A3">
        <w:rPr>
          <w:color w:val="000000"/>
          <w:szCs w:val="24"/>
        </w:rPr>
        <w:t>m</w:t>
      </w:r>
      <w:r w:rsidR="000A4A4D">
        <w:rPr>
          <w:color w:val="000000"/>
          <w:szCs w:val="24"/>
        </w:rPr>
        <w:t xml:space="preserve">édio </w:t>
      </w:r>
      <w:r w:rsidR="00B41BD6">
        <w:rPr>
          <w:color w:val="000000"/>
          <w:szCs w:val="24"/>
        </w:rPr>
        <w:t xml:space="preserve">de </w:t>
      </w:r>
      <w:r w:rsidR="000A4A4D">
        <w:rPr>
          <w:color w:val="000000"/>
          <w:szCs w:val="24"/>
        </w:rPr>
        <w:t>1,64</w:t>
      </w:r>
      <w:r w:rsidR="00AA67A3" w:rsidRPr="0070377C">
        <w:rPr>
          <w:color w:val="000000"/>
          <w:szCs w:val="24"/>
        </w:rPr>
        <w:t>±</w:t>
      </w:r>
      <w:r w:rsidR="000A4A4D">
        <w:rPr>
          <w:color w:val="000000"/>
          <w:szCs w:val="24"/>
        </w:rPr>
        <w:t>0,33</w:t>
      </w:r>
      <w:r w:rsidR="00AA67A3">
        <w:rPr>
          <w:color w:val="000000"/>
          <w:szCs w:val="24"/>
        </w:rPr>
        <w:t xml:space="preserve">%. </w:t>
      </w:r>
      <w:r w:rsidR="000A4A4D">
        <w:rPr>
          <w:rFonts w:eastAsia="Times New Roman"/>
          <w:bCs/>
          <w:szCs w:val="24"/>
          <w:lang w:eastAsia="pt-BR"/>
        </w:rPr>
        <w:t>Conclui-se que a</w:t>
      </w:r>
      <w:r w:rsidR="00AA67A3" w:rsidRPr="00AA67A3">
        <w:rPr>
          <w:rFonts w:eastAsia="Times New Roman"/>
          <w:bCs/>
          <w:szCs w:val="24"/>
          <w:lang w:eastAsia="pt-BR"/>
        </w:rPr>
        <w:t xml:space="preserve"> suplementação de probiótico (</w:t>
      </w:r>
      <w:r w:rsidR="00AA67A3" w:rsidRPr="00AA67A3">
        <w:rPr>
          <w:rFonts w:eastAsia="Times New Roman"/>
          <w:bCs/>
          <w:i/>
          <w:szCs w:val="24"/>
          <w:lang w:eastAsia="pt-BR"/>
        </w:rPr>
        <w:t xml:space="preserve">Bacillus subtilis </w:t>
      </w:r>
      <w:r w:rsidR="00AA67A3" w:rsidRPr="00AA67A3">
        <w:rPr>
          <w:rFonts w:eastAsia="Times New Roman"/>
          <w:bCs/>
          <w:szCs w:val="24"/>
          <w:lang w:eastAsia="pt-BR"/>
        </w:rPr>
        <w:t>e</w:t>
      </w:r>
      <w:r w:rsidR="00AA67A3" w:rsidRPr="00AA67A3">
        <w:rPr>
          <w:rFonts w:eastAsia="Times New Roman"/>
          <w:bCs/>
          <w:i/>
          <w:szCs w:val="24"/>
          <w:lang w:eastAsia="pt-BR"/>
        </w:rPr>
        <w:t xml:space="preserve"> Bacillus cereus</w:t>
      </w:r>
      <w:r w:rsidR="00AA67A3" w:rsidRPr="00AA67A3">
        <w:rPr>
          <w:rFonts w:eastAsia="Times New Roman"/>
          <w:bCs/>
          <w:szCs w:val="24"/>
          <w:lang w:eastAsia="pt-BR"/>
        </w:rPr>
        <w:t xml:space="preserve">) </w:t>
      </w:r>
      <w:r w:rsidR="00D77173">
        <w:rPr>
          <w:rFonts w:eastAsia="Times New Roman"/>
          <w:bCs/>
          <w:szCs w:val="24"/>
          <w:lang w:eastAsia="pt-BR"/>
        </w:rPr>
        <w:t>em</w:t>
      </w:r>
      <w:r w:rsidR="00AA67A3" w:rsidRPr="00AA67A3">
        <w:rPr>
          <w:rFonts w:eastAsia="Times New Roman"/>
          <w:bCs/>
          <w:szCs w:val="24"/>
          <w:lang w:eastAsia="pt-BR"/>
        </w:rPr>
        <w:t xml:space="preserve"> dietas para </w:t>
      </w:r>
      <w:r w:rsidR="00795263">
        <w:rPr>
          <w:rFonts w:eastAsia="Times New Roman"/>
          <w:bCs/>
          <w:szCs w:val="24"/>
          <w:lang w:eastAsia="pt-BR"/>
        </w:rPr>
        <w:t>jundiá</w:t>
      </w:r>
      <w:r w:rsidR="000A4A4D">
        <w:rPr>
          <w:rFonts w:eastAsia="Times New Roman"/>
          <w:bCs/>
          <w:szCs w:val="24"/>
          <w:lang w:eastAsia="pt-BR"/>
        </w:rPr>
        <w:t xml:space="preserve"> </w:t>
      </w:r>
      <w:r w:rsidR="00795263">
        <w:rPr>
          <w:rFonts w:eastAsia="Times New Roman"/>
          <w:bCs/>
          <w:szCs w:val="24"/>
          <w:lang w:eastAsia="pt-BR"/>
        </w:rPr>
        <w:t>não interfere nas proporções de peso do fígado, comprimento e peso relativo intestinal</w:t>
      </w:r>
      <w:r w:rsidR="00D21A40">
        <w:rPr>
          <w:rFonts w:eastAsia="Times New Roman"/>
          <w:bCs/>
          <w:szCs w:val="24"/>
          <w:lang w:eastAsia="pt-BR"/>
        </w:rPr>
        <w:t xml:space="preserve"> dos animais</w:t>
      </w:r>
      <w:r w:rsidR="00795263">
        <w:rPr>
          <w:rFonts w:eastAsia="Times New Roman"/>
          <w:bCs/>
          <w:szCs w:val="24"/>
          <w:lang w:eastAsia="pt-BR"/>
        </w:rPr>
        <w:t xml:space="preserve">, além disso, </w:t>
      </w:r>
      <w:r w:rsidR="000A4A4D">
        <w:rPr>
          <w:rFonts w:eastAsia="Times New Roman"/>
          <w:bCs/>
          <w:szCs w:val="24"/>
          <w:lang w:eastAsia="pt-BR"/>
        </w:rPr>
        <w:t>pro</w:t>
      </w:r>
      <w:r w:rsidR="00795263">
        <w:rPr>
          <w:rFonts w:eastAsia="Times New Roman"/>
          <w:bCs/>
          <w:szCs w:val="24"/>
          <w:lang w:eastAsia="pt-BR"/>
        </w:rPr>
        <w:t>porciona</w:t>
      </w:r>
      <w:r w:rsidR="000A4A4D">
        <w:rPr>
          <w:rFonts w:eastAsia="Times New Roman"/>
          <w:bCs/>
          <w:szCs w:val="24"/>
          <w:lang w:eastAsia="pt-BR"/>
        </w:rPr>
        <w:t xml:space="preserve"> a reduç</w:t>
      </w:r>
      <w:r w:rsidR="0064169F">
        <w:rPr>
          <w:rFonts w:eastAsia="Times New Roman"/>
          <w:bCs/>
          <w:szCs w:val="24"/>
          <w:lang w:eastAsia="pt-BR"/>
        </w:rPr>
        <w:t>ão de</w:t>
      </w:r>
      <w:r w:rsidR="000A4A4D">
        <w:rPr>
          <w:rFonts w:eastAsia="Times New Roman"/>
          <w:bCs/>
          <w:szCs w:val="24"/>
          <w:lang w:eastAsia="pt-BR"/>
        </w:rPr>
        <w:t xml:space="preserve"> gordura visceral</w:t>
      </w:r>
      <w:r w:rsidR="00795263">
        <w:rPr>
          <w:rFonts w:eastAsia="Times New Roman"/>
          <w:bCs/>
          <w:szCs w:val="24"/>
          <w:lang w:eastAsia="pt-BR"/>
        </w:rPr>
        <w:t xml:space="preserve"> </w:t>
      </w:r>
      <w:r w:rsidR="000A4A4D">
        <w:rPr>
          <w:rFonts w:eastAsia="Times New Roman"/>
          <w:bCs/>
          <w:szCs w:val="24"/>
          <w:lang w:eastAsia="pt-BR"/>
        </w:rPr>
        <w:t>quando utilizado</w:t>
      </w:r>
      <w:r w:rsidR="00795263">
        <w:rPr>
          <w:rFonts w:eastAsia="Times New Roman"/>
          <w:bCs/>
          <w:szCs w:val="24"/>
          <w:lang w:eastAsia="pt-BR"/>
        </w:rPr>
        <w:t xml:space="preserve"> a</w:t>
      </w:r>
      <w:r w:rsidR="00AA67A3" w:rsidRPr="00AA67A3">
        <w:rPr>
          <w:rFonts w:eastAsia="Times New Roman"/>
          <w:bCs/>
          <w:szCs w:val="24"/>
          <w:lang w:eastAsia="pt-BR"/>
        </w:rPr>
        <w:t xml:space="preserve"> </w:t>
      </w:r>
      <w:r w:rsidR="000A4A4D">
        <w:rPr>
          <w:rFonts w:eastAsia="Times New Roman"/>
          <w:bCs/>
          <w:szCs w:val="24"/>
          <w:lang w:eastAsia="pt-BR"/>
        </w:rPr>
        <w:t>concentração de 0,06</w:t>
      </w:r>
      <w:r w:rsidR="00F61797">
        <w:rPr>
          <w:rFonts w:eastAsia="Times New Roman"/>
          <w:bCs/>
          <w:szCs w:val="24"/>
          <w:lang w:eastAsia="pt-BR"/>
        </w:rPr>
        <w:t>0 % de probiótico (</w:t>
      </w:r>
      <w:r w:rsidR="00F61797" w:rsidRPr="00AB1AB8">
        <w:rPr>
          <w:i/>
          <w:color w:val="000000"/>
          <w:szCs w:val="24"/>
        </w:rPr>
        <w:t xml:space="preserve">Bacillus subtilis </w:t>
      </w:r>
      <w:r w:rsidR="00F61797" w:rsidRPr="00AB1AB8">
        <w:rPr>
          <w:color w:val="000000"/>
          <w:szCs w:val="24"/>
        </w:rPr>
        <w:t xml:space="preserve">e </w:t>
      </w:r>
      <w:r w:rsidR="00F61797" w:rsidRPr="00AB1AB8">
        <w:rPr>
          <w:i/>
          <w:color w:val="000000"/>
          <w:szCs w:val="24"/>
        </w:rPr>
        <w:t>Bacillus cereus</w:t>
      </w:r>
      <w:r w:rsidR="00F61797">
        <w:rPr>
          <w:color w:val="000000"/>
          <w:szCs w:val="24"/>
        </w:rPr>
        <w:t>)</w:t>
      </w:r>
      <w:r w:rsidR="00795263">
        <w:rPr>
          <w:rFonts w:eastAsia="Times New Roman"/>
          <w:bCs/>
          <w:szCs w:val="24"/>
          <w:lang w:eastAsia="pt-BR"/>
        </w:rPr>
        <w:t>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AF7F2A" w:rsidRPr="00AF7F2A">
        <w:rPr>
          <w:rFonts w:eastAsia="Times New Roman"/>
          <w:bCs/>
          <w:szCs w:val="24"/>
          <w:lang w:eastAsia="pt-BR"/>
        </w:rPr>
        <w:t>piscicultura</w:t>
      </w:r>
      <w:r w:rsidR="003552FB">
        <w:rPr>
          <w:rFonts w:eastAsia="Times New Roman"/>
          <w:bCs/>
          <w:szCs w:val="24"/>
          <w:lang w:eastAsia="pt-BR"/>
        </w:rPr>
        <w:t xml:space="preserve">, nutrição, metabolismo, trânsito intestinal, </w:t>
      </w:r>
      <w:r w:rsidR="003552FB" w:rsidRPr="003552FB">
        <w:rPr>
          <w:rFonts w:eastAsia="Times New Roman"/>
          <w:bCs/>
          <w:szCs w:val="24"/>
          <w:lang w:eastAsia="pt-BR"/>
        </w:rPr>
        <w:t>bactérias não-patogênicas</w:t>
      </w:r>
      <w:r w:rsidR="00AF7F2A" w:rsidRPr="00AF7F2A">
        <w:rPr>
          <w:rFonts w:eastAsia="Times New Roman"/>
          <w:bCs/>
          <w:szCs w:val="24"/>
          <w:lang w:eastAsia="pt-BR"/>
        </w:rPr>
        <w:t>.</w:t>
      </w:r>
    </w:p>
    <w:p w:rsidR="00BC2254" w:rsidRDefault="003270C9" w:rsidP="00BC2254">
      <w:pPr>
        <w:jc w:val="both"/>
        <w:rPr>
          <w:color w:val="000000"/>
          <w:szCs w:val="24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>
        <w:rPr>
          <w:rFonts w:eastAsia="Times New Roman"/>
          <w:b/>
          <w:bCs/>
          <w:szCs w:val="24"/>
          <w:lang w:eastAsia="pt-BR"/>
        </w:rPr>
        <w:t xml:space="preserve"> </w:t>
      </w:r>
      <w:r w:rsidR="00BC2254">
        <w:rPr>
          <w:color w:val="000000"/>
          <w:szCs w:val="24"/>
        </w:rPr>
        <w:t>Imeve®.</w:t>
      </w:r>
    </w:p>
    <w:p w:rsidR="00706E0D" w:rsidRPr="00706E0D" w:rsidRDefault="00706E0D" w:rsidP="00BC2254">
      <w:pPr>
        <w:spacing w:after="0" w:line="240" w:lineRule="auto"/>
        <w:rPr>
          <w:b/>
          <w:szCs w:val="24"/>
          <w:lang w:eastAsia="pt-BR"/>
        </w:rPr>
      </w:pPr>
    </w:p>
    <w:sectPr w:rsidR="00706E0D" w:rsidRPr="00706E0D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F2" w:rsidRDefault="006760F2" w:rsidP="00880ABD">
      <w:pPr>
        <w:spacing w:after="0" w:line="240" w:lineRule="auto"/>
      </w:pPr>
      <w:r>
        <w:separator/>
      </w:r>
    </w:p>
  </w:endnote>
  <w:endnote w:type="continuationSeparator" w:id="0">
    <w:p w:rsidR="006760F2" w:rsidRDefault="006760F2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F2" w:rsidRDefault="006760F2" w:rsidP="00880ABD">
      <w:pPr>
        <w:spacing w:after="0" w:line="240" w:lineRule="auto"/>
      </w:pPr>
      <w:r>
        <w:separator/>
      </w:r>
    </w:p>
  </w:footnote>
  <w:footnote w:type="continuationSeparator" w:id="0">
    <w:p w:rsidR="006760F2" w:rsidRDefault="006760F2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DE49DD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6760F2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7446E"/>
    <w:rsid w:val="00092CF1"/>
    <w:rsid w:val="000A4A4D"/>
    <w:rsid w:val="000C78EA"/>
    <w:rsid w:val="000D71B9"/>
    <w:rsid w:val="00131C55"/>
    <w:rsid w:val="0016540F"/>
    <w:rsid w:val="00271200"/>
    <w:rsid w:val="00283DC4"/>
    <w:rsid w:val="002A1F5F"/>
    <w:rsid w:val="002F4272"/>
    <w:rsid w:val="002F5A77"/>
    <w:rsid w:val="00313159"/>
    <w:rsid w:val="003270C9"/>
    <w:rsid w:val="003552FB"/>
    <w:rsid w:val="003F3192"/>
    <w:rsid w:val="003F6FA5"/>
    <w:rsid w:val="00436E49"/>
    <w:rsid w:val="00452984"/>
    <w:rsid w:val="0049167A"/>
    <w:rsid w:val="004D17CC"/>
    <w:rsid w:val="005141DF"/>
    <w:rsid w:val="00600A4F"/>
    <w:rsid w:val="006236B6"/>
    <w:rsid w:val="006355E6"/>
    <w:rsid w:val="0064169F"/>
    <w:rsid w:val="00653A9E"/>
    <w:rsid w:val="006760F2"/>
    <w:rsid w:val="00684F55"/>
    <w:rsid w:val="006E06BD"/>
    <w:rsid w:val="0070377C"/>
    <w:rsid w:val="00706E0D"/>
    <w:rsid w:val="00765B91"/>
    <w:rsid w:val="00795263"/>
    <w:rsid w:val="007B7288"/>
    <w:rsid w:val="007D64A7"/>
    <w:rsid w:val="007E3B36"/>
    <w:rsid w:val="0081639F"/>
    <w:rsid w:val="008332CB"/>
    <w:rsid w:val="00845571"/>
    <w:rsid w:val="00852FA9"/>
    <w:rsid w:val="00880ABD"/>
    <w:rsid w:val="00886FD7"/>
    <w:rsid w:val="008D3667"/>
    <w:rsid w:val="008F524E"/>
    <w:rsid w:val="008F5CEB"/>
    <w:rsid w:val="00912EDA"/>
    <w:rsid w:val="00917374"/>
    <w:rsid w:val="00940596"/>
    <w:rsid w:val="00986650"/>
    <w:rsid w:val="009C4E2C"/>
    <w:rsid w:val="00A44667"/>
    <w:rsid w:val="00A66EB4"/>
    <w:rsid w:val="00A87749"/>
    <w:rsid w:val="00AA3AD6"/>
    <w:rsid w:val="00AA67A3"/>
    <w:rsid w:val="00AB1AB8"/>
    <w:rsid w:val="00AF7F2A"/>
    <w:rsid w:val="00B41BD6"/>
    <w:rsid w:val="00BC2254"/>
    <w:rsid w:val="00CB0309"/>
    <w:rsid w:val="00CC7791"/>
    <w:rsid w:val="00CE696C"/>
    <w:rsid w:val="00D21A40"/>
    <w:rsid w:val="00D6440D"/>
    <w:rsid w:val="00D73C99"/>
    <w:rsid w:val="00D77173"/>
    <w:rsid w:val="00D97C9C"/>
    <w:rsid w:val="00DD1D86"/>
    <w:rsid w:val="00DE49DD"/>
    <w:rsid w:val="00E51E5B"/>
    <w:rsid w:val="00E56374"/>
    <w:rsid w:val="00E60F64"/>
    <w:rsid w:val="00E86C3C"/>
    <w:rsid w:val="00EC0FEF"/>
    <w:rsid w:val="00F61797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A8B31-1CF7-43B9-9199-4D9A72D4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,3*%20lins.marian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Mariana Lins Rodrigues</cp:lastModifiedBy>
  <cp:revision>18</cp:revision>
  <cp:lastPrinted>2017-05-25T13:18:00Z</cp:lastPrinted>
  <dcterms:created xsi:type="dcterms:W3CDTF">2017-08-21T02:44:00Z</dcterms:created>
  <dcterms:modified xsi:type="dcterms:W3CDTF">2017-08-21T03:46:00Z</dcterms:modified>
</cp:coreProperties>
</file>