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1E" w:rsidRPr="0014741C" w:rsidRDefault="00FC5039" w:rsidP="00470F1E">
      <w:pPr>
        <w:spacing w:line="240" w:lineRule="auto"/>
        <w:jc w:val="center"/>
        <w:rPr>
          <w:b/>
        </w:rPr>
      </w:pPr>
      <w:r>
        <w:rPr>
          <w:b/>
        </w:rPr>
        <w:t xml:space="preserve">Índice de </w:t>
      </w:r>
      <w:r w:rsidR="00470F1E">
        <w:rPr>
          <w:b/>
        </w:rPr>
        <w:t>V</w:t>
      </w:r>
      <w:r w:rsidR="00470F1E" w:rsidRPr="00E23804">
        <w:rPr>
          <w:b/>
        </w:rPr>
        <w:t>ariabilidade como referência para a C</w:t>
      </w:r>
      <w:r w:rsidR="00470F1E">
        <w:rPr>
          <w:b/>
        </w:rPr>
        <w:t xml:space="preserve">omparação de </w:t>
      </w:r>
      <w:r w:rsidR="00470F1E" w:rsidRPr="00E23804">
        <w:rPr>
          <w:b/>
        </w:rPr>
        <w:t>L</w:t>
      </w:r>
      <w:r w:rsidR="00470F1E">
        <w:rPr>
          <w:b/>
        </w:rPr>
        <w:t>ocutores</w:t>
      </w:r>
    </w:p>
    <w:p w:rsidR="00470F1E" w:rsidRPr="00FC71F5" w:rsidRDefault="00470F1E" w:rsidP="00470F1E">
      <w:pPr>
        <w:spacing w:line="240" w:lineRule="auto"/>
        <w:jc w:val="center"/>
      </w:pPr>
      <w:bookmarkStart w:id="0" w:name="_GoBack"/>
      <w:bookmarkEnd w:id="0"/>
    </w:p>
    <w:p w:rsidR="00470F1E" w:rsidRPr="00176F3D" w:rsidRDefault="00470F1E" w:rsidP="00470F1E">
      <w:pPr>
        <w:spacing w:line="240" w:lineRule="auto"/>
        <w:ind w:firstLine="851"/>
        <w:rPr>
          <w:sz w:val="22"/>
          <w:szCs w:val="22"/>
        </w:rPr>
      </w:pPr>
      <w:r w:rsidRPr="00176F3D">
        <w:rPr>
          <w:sz w:val="22"/>
          <w:szCs w:val="22"/>
        </w:rPr>
        <w:t>Há uma tendência</w:t>
      </w:r>
      <w:r>
        <w:rPr>
          <w:sz w:val="22"/>
          <w:szCs w:val="22"/>
        </w:rPr>
        <w:t xml:space="preserve"> leiga</w:t>
      </w:r>
      <w:r w:rsidRPr="00176F3D">
        <w:rPr>
          <w:sz w:val="22"/>
          <w:szCs w:val="22"/>
        </w:rPr>
        <w:t xml:space="preserve"> em imaginar que o ser humano possui uma voz</w:t>
      </w:r>
      <w:r>
        <w:rPr>
          <w:sz w:val="22"/>
          <w:szCs w:val="22"/>
        </w:rPr>
        <w:t xml:space="preserve"> ímpar</w:t>
      </w:r>
      <w:r w:rsidRPr="00176F3D">
        <w:rPr>
          <w:sz w:val="22"/>
          <w:szCs w:val="22"/>
        </w:rPr>
        <w:t xml:space="preserve">, no sentido de um elemento próprio característico, </w:t>
      </w:r>
      <w:r w:rsidR="00EB03F5">
        <w:rPr>
          <w:sz w:val="22"/>
          <w:szCs w:val="22"/>
        </w:rPr>
        <w:t xml:space="preserve">que permite sua identificação, da mesma maneira que ocorre com a impressão </w:t>
      </w:r>
      <w:r w:rsidRPr="00176F3D">
        <w:rPr>
          <w:sz w:val="22"/>
          <w:szCs w:val="22"/>
        </w:rPr>
        <w:t xml:space="preserve">digital. Essa </w:t>
      </w:r>
      <w:r w:rsidR="00EB03F5">
        <w:rPr>
          <w:sz w:val="22"/>
          <w:szCs w:val="22"/>
        </w:rPr>
        <w:t xml:space="preserve">analogia </w:t>
      </w:r>
      <w:r w:rsidRPr="00176F3D">
        <w:rPr>
          <w:sz w:val="22"/>
          <w:szCs w:val="22"/>
        </w:rPr>
        <w:t xml:space="preserve">é uma simplificação, primeiramente porque a voz de uma pessoa não é constante e além disso </w:t>
      </w:r>
      <w:r>
        <w:rPr>
          <w:sz w:val="22"/>
          <w:szCs w:val="22"/>
        </w:rPr>
        <w:t xml:space="preserve">porque </w:t>
      </w:r>
      <w:r w:rsidRPr="00176F3D">
        <w:rPr>
          <w:sz w:val="22"/>
          <w:szCs w:val="22"/>
        </w:rPr>
        <w:t>não se sabe ao certo em que medida a variação na fala de um indivíduo causa uma sobreposição de aspectos de sua voz em relação aos outros indivíduos de sua comunidade de fala (NOLAN, 2002, p.12).</w:t>
      </w:r>
    </w:p>
    <w:p w:rsidR="00470F1E" w:rsidRDefault="00470F1E" w:rsidP="00470F1E">
      <w:pPr>
        <w:spacing w:line="240" w:lineRule="auto"/>
        <w:ind w:firstLine="851"/>
        <w:rPr>
          <w:sz w:val="22"/>
          <w:szCs w:val="22"/>
        </w:rPr>
      </w:pPr>
      <w:r w:rsidRPr="00176F3D">
        <w:rPr>
          <w:sz w:val="22"/>
          <w:szCs w:val="22"/>
        </w:rPr>
        <w:t>A analogia com a impressão digital foi inaugurada por Kerst</w:t>
      </w:r>
      <w:r w:rsidR="00164B3F">
        <w:rPr>
          <w:sz w:val="22"/>
          <w:szCs w:val="22"/>
        </w:rPr>
        <w:t>a (1962)</w:t>
      </w:r>
      <w:r w:rsidRPr="00176F3D">
        <w:rPr>
          <w:sz w:val="22"/>
          <w:szCs w:val="22"/>
        </w:rPr>
        <w:t xml:space="preserve">. </w:t>
      </w:r>
      <w:r w:rsidR="00164B3F">
        <w:rPr>
          <w:sz w:val="22"/>
          <w:szCs w:val="22"/>
        </w:rPr>
        <w:t>O</w:t>
      </w:r>
      <w:r w:rsidRPr="00176F3D">
        <w:rPr>
          <w:sz w:val="22"/>
          <w:szCs w:val="22"/>
        </w:rPr>
        <w:t xml:space="preserve"> avanço da tecnologia</w:t>
      </w:r>
      <w:r w:rsidR="00164B3F">
        <w:rPr>
          <w:sz w:val="22"/>
          <w:szCs w:val="22"/>
        </w:rPr>
        <w:t>,</w:t>
      </w:r>
      <w:r w:rsidR="00164B3F" w:rsidRPr="00176F3D">
        <w:rPr>
          <w:sz w:val="22"/>
          <w:szCs w:val="22"/>
        </w:rPr>
        <w:t xml:space="preserve"> em meados da década de 40</w:t>
      </w:r>
      <w:r w:rsidR="00164B3F">
        <w:rPr>
          <w:sz w:val="22"/>
          <w:szCs w:val="22"/>
        </w:rPr>
        <w:t>,</w:t>
      </w:r>
      <w:r w:rsidR="00164B3F" w:rsidRPr="00176F3D">
        <w:rPr>
          <w:sz w:val="22"/>
          <w:szCs w:val="22"/>
        </w:rPr>
        <w:t xml:space="preserve"> </w:t>
      </w:r>
      <w:r w:rsidRPr="00176F3D">
        <w:rPr>
          <w:sz w:val="22"/>
          <w:szCs w:val="22"/>
        </w:rPr>
        <w:t>após investimento</w:t>
      </w:r>
      <w:r w:rsidR="00164B3F">
        <w:rPr>
          <w:sz w:val="22"/>
          <w:szCs w:val="22"/>
        </w:rPr>
        <w:t>,</w:t>
      </w:r>
      <w:r w:rsidRPr="00176F3D">
        <w:rPr>
          <w:sz w:val="22"/>
          <w:szCs w:val="22"/>
        </w:rPr>
        <w:t xml:space="preserve"> com objetivos militares</w:t>
      </w:r>
      <w:r w:rsidR="00164B3F">
        <w:rPr>
          <w:sz w:val="22"/>
          <w:szCs w:val="22"/>
        </w:rPr>
        <w:t>,</w:t>
      </w:r>
      <w:r w:rsidRPr="00176F3D">
        <w:rPr>
          <w:sz w:val="22"/>
          <w:szCs w:val="22"/>
        </w:rPr>
        <w:t xml:space="preserve"> </w:t>
      </w:r>
      <w:r w:rsidR="00164B3F">
        <w:rPr>
          <w:sz w:val="22"/>
          <w:szCs w:val="22"/>
        </w:rPr>
        <w:t>que</w:t>
      </w:r>
      <w:r w:rsidRPr="00176F3D">
        <w:rPr>
          <w:sz w:val="22"/>
          <w:szCs w:val="22"/>
        </w:rPr>
        <w:t xml:space="preserve"> pretendia reconhecer as vozes nas mensagens interceptadas por rádio</w:t>
      </w:r>
      <w:r w:rsidR="00164B3F">
        <w:rPr>
          <w:sz w:val="22"/>
          <w:szCs w:val="22"/>
        </w:rPr>
        <w:t>, resultou na criação d</w:t>
      </w:r>
      <w:r w:rsidRPr="00176F3D">
        <w:rPr>
          <w:sz w:val="22"/>
          <w:szCs w:val="22"/>
        </w:rPr>
        <w:t>o sonógrafo, aparelho que permitia “enxergar os sons</w:t>
      </w:r>
      <w:r w:rsidR="003C4E70">
        <w:rPr>
          <w:sz w:val="22"/>
          <w:szCs w:val="22"/>
        </w:rPr>
        <w:t>”</w:t>
      </w:r>
      <w:r w:rsidRPr="00176F3D">
        <w:rPr>
          <w:sz w:val="22"/>
          <w:szCs w:val="22"/>
        </w:rPr>
        <w:t xml:space="preserve"> (Hollien, 2002). Kersta (1962) foi quem pleiteou a força do espectrograma como um exame páreo ao da impressão digital, batizando </w:t>
      </w:r>
      <w:r w:rsidRPr="003C4E70">
        <w:rPr>
          <w:i/>
          <w:sz w:val="22"/>
          <w:szCs w:val="22"/>
        </w:rPr>
        <w:t>voiceprint</w:t>
      </w:r>
      <w:r w:rsidRPr="00176F3D">
        <w:rPr>
          <w:sz w:val="22"/>
          <w:szCs w:val="22"/>
        </w:rPr>
        <w:t xml:space="preserve"> em analogia a </w:t>
      </w:r>
      <w:r w:rsidRPr="003C4E70">
        <w:rPr>
          <w:i/>
          <w:sz w:val="22"/>
          <w:szCs w:val="22"/>
        </w:rPr>
        <w:t>fingerprint</w:t>
      </w:r>
      <w:r w:rsidR="003C4E70">
        <w:rPr>
          <w:sz w:val="22"/>
          <w:szCs w:val="22"/>
        </w:rPr>
        <w:t>.</w:t>
      </w:r>
      <w:r w:rsidR="00164B3F">
        <w:rPr>
          <w:sz w:val="22"/>
          <w:szCs w:val="22"/>
        </w:rPr>
        <w:t xml:space="preserve"> A analogia que deu origem ao termo é questionável. </w:t>
      </w:r>
      <w:r w:rsidRPr="00176F3D">
        <w:rPr>
          <w:sz w:val="22"/>
          <w:szCs w:val="22"/>
        </w:rPr>
        <w:t xml:space="preserve">A questão que se coloca é justamente entender o motivo pelo qual a impressão digital tem maior consistência do que a amostra de fala e voz. A solução para tal questão reside na relação entre </w:t>
      </w:r>
      <w:r w:rsidR="005B591D">
        <w:rPr>
          <w:sz w:val="22"/>
          <w:szCs w:val="22"/>
        </w:rPr>
        <w:t xml:space="preserve">as </w:t>
      </w:r>
      <w:r w:rsidRPr="00176F3D">
        <w:rPr>
          <w:sz w:val="22"/>
          <w:szCs w:val="22"/>
        </w:rPr>
        <w:t>variabilidade</w:t>
      </w:r>
      <w:r w:rsidR="005B591D">
        <w:rPr>
          <w:sz w:val="22"/>
          <w:szCs w:val="22"/>
        </w:rPr>
        <w:t>s</w:t>
      </w:r>
      <w:r w:rsidRPr="00176F3D">
        <w:rPr>
          <w:sz w:val="22"/>
          <w:szCs w:val="22"/>
        </w:rPr>
        <w:t xml:space="preserve"> intra e interindividual</w:t>
      </w:r>
      <w:r w:rsidR="00164B3F">
        <w:rPr>
          <w:sz w:val="22"/>
          <w:szCs w:val="22"/>
        </w:rPr>
        <w:t xml:space="preserve"> (Huevel, 1996)</w:t>
      </w:r>
      <w:r w:rsidRPr="00176F3D">
        <w:rPr>
          <w:sz w:val="22"/>
          <w:szCs w:val="22"/>
        </w:rPr>
        <w:t>. No caso da digital, a variabilidade</w:t>
      </w:r>
      <w:r w:rsidR="005D3633">
        <w:rPr>
          <w:sz w:val="22"/>
          <w:szCs w:val="22"/>
        </w:rPr>
        <w:t xml:space="preserve"> inerente ao indivíduo, ou variabilidade intraindividual,</w:t>
      </w:r>
      <w:r w:rsidRPr="00176F3D">
        <w:rPr>
          <w:sz w:val="22"/>
          <w:szCs w:val="22"/>
        </w:rPr>
        <w:t xml:space="preserve"> é muito pequena, enquanto a variabilidade </w:t>
      </w:r>
      <w:r w:rsidR="005D3633">
        <w:rPr>
          <w:sz w:val="22"/>
          <w:szCs w:val="22"/>
        </w:rPr>
        <w:t xml:space="preserve">dentro de um grupo de indivíduos, ou </w:t>
      </w:r>
      <w:r w:rsidRPr="00176F3D">
        <w:rPr>
          <w:sz w:val="22"/>
          <w:szCs w:val="22"/>
        </w:rPr>
        <w:t>interindividual</w:t>
      </w:r>
      <w:r w:rsidR="005D3633">
        <w:rPr>
          <w:sz w:val="22"/>
          <w:szCs w:val="22"/>
        </w:rPr>
        <w:t>,</w:t>
      </w:r>
      <w:r w:rsidRPr="00176F3D">
        <w:rPr>
          <w:sz w:val="22"/>
          <w:szCs w:val="22"/>
        </w:rPr>
        <w:t xml:space="preserve"> é muito grande. No caso da fala e da voz, </w:t>
      </w:r>
      <w:r w:rsidR="005D3633">
        <w:rPr>
          <w:sz w:val="22"/>
          <w:szCs w:val="22"/>
        </w:rPr>
        <w:t xml:space="preserve">é notório que </w:t>
      </w:r>
      <w:r w:rsidRPr="00176F3D">
        <w:rPr>
          <w:sz w:val="22"/>
          <w:szCs w:val="22"/>
        </w:rPr>
        <w:t>a variabilidade intraindividual não é pequena</w:t>
      </w:r>
      <w:r w:rsidR="005D3633">
        <w:rPr>
          <w:sz w:val="22"/>
          <w:szCs w:val="22"/>
        </w:rPr>
        <w:t xml:space="preserve"> como ocorre com a impressão digital</w:t>
      </w:r>
      <w:r w:rsidRPr="00176F3D">
        <w:rPr>
          <w:sz w:val="22"/>
          <w:szCs w:val="22"/>
        </w:rPr>
        <w:t>, em função da plasticidade que é característica dos órgãos fonatórios (NOLAN, 2002)</w:t>
      </w:r>
      <w:r w:rsidR="005D3633">
        <w:rPr>
          <w:sz w:val="22"/>
          <w:szCs w:val="22"/>
        </w:rPr>
        <w:t>, que ocasiona, mesmo se tratando da produção de sons iguais em contexto fonológico e sintático, uma variabilidade que não se tem notícia de haver sido estimada</w:t>
      </w:r>
      <w:r w:rsidRPr="00176F3D">
        <w:rPr>
          <w:sz w:val="22"/>
          <w:szCs w:val="22"/>
        </w:rPr>
        <w:t xml:space="preserve">. Associada a isso, a variabilidade interindividual, apesar de existir em função das diferentes constituições orgânicas e das diferentes experiências linguísticas e cognitivas, é minimizada por mecanismos intuitivos de normalização sempre que falamos, uma vez que o objetivo da comunicação é </w:t>
      </w:r>
      <w:r w:rsidR="005D3633">
        <w:rPr>
          <w:sz w:val="22"/>
          <w:szCs w:val="22"/>
        </w:rPr>
        <w:t xml:space="preserve">justamente </w:t>
      </w:r>
      <w:r w:rsidRPr="00176F3D">
        <w:rPr>
          <w:sz w:val="22"/>
          <w:szCs w:val="22"/>
        </w:rPr>
        <w:t xml:space="preserve">normalizar a produção </w:t>
      </w:r>
      <w:r w:rsidR="005D3633">
        <w:rPr>
          <w:sz w:val="22"/>
          <w:szCs w:val="22"/>
        </w:rPr>
        <w:t xml:space="preserve">sonora </w:t>
      </w:r>
      <w:r w:rsidRPr="00176F3D">
        <w:rPr>
          <w:sz w:val="22"/>
          <w:szCs w:val="22"/>
        </w:rPr>
        <w:t>para permitir e facilitar a percepção</w:t>
      </w:r>
      <w:r w:rsidR="005D3633">
        <w:rPr>
          <w:sz w:val="22"/>
          <w:szCs w:val="22"/>
        </w:rPr>
        <w:t xml:space="preserve"> entre os indivíduos que compartilham a língua</w:t>
      </w:r>
      <w:r w:rsidRPr="00176F3D">
        <w:rPr>
          <w:sz w:val="22"/>
          <w:szCs w:val="22"/>
        </w:rPr>
        <w:t>.</w:t>
      </w:r>
    </w:p>
    <w:p w:rsidR="000A601D" w:rsidRDefault="00470F1E" w:rsidP="00470F1E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 presente trabalho tem sua origem na carência de informações a respeito da variabilidade mínima esperada para a produção de um som em um contexto de variação bem controlado. Assim, </w:t>
      </w:r>
      <w:r w:rsidR="005D3633">
        <w:rPr>
          <w:sz w:val="22"/>
          <w:szCs w:val="22"/>
        </w:rPr>
        <w:t>foi proposta</w:t>
      </w:r>
      <w:r>
        <w:rPr>
          <w:sz w:val="22"/>
          <w:szCs w:val="22"/>
        </w:rPr>
        <w:t xml:space="preserve"> uma coleta, através de instrumento, de amostras de sílabas que foram repetidas diversas vezes buscando um contexto de baixa variabilidade individual.</w:t>
      </w:r>
    </w:p>
    <w:p w:rsidR="00470F1E" w:rsidRDefault="00470F1E" w:rsidP="000A601D">
      <w:pPr>
        <w:spacing w:line="240" w:lineRule="auto"/>
        <w:ind w:firstLine="851"/>
        <w:rPr>
          <w:sz w:val="22"/>
          <w:szCs w:val="22"/>
        </w:rPr>
      </w:pPr>
      <w:r w:rsidRPr="00462BA8">
        <w:rPr>
          <w:sz w:val="22"/>
          <w:szCs w:val="22"/>
        </w:rPr>
        <w:t>O instrumento de coleta para fala foi formado pela combinação de seis contextos preceden</w:t>
      </w:r>
      <w:r>
        <w:rPr>
          <w:sz w:val="22"/>
          <w:szCs w:val="22"/>
        </w:rPr>
        <w:t xml:space="preserve">tes – </w:t>
      </w:r>
      <w:r w:rsidRPr="00462BA8">
        <w:rPr>
          <w:sz w:val="22"/>
          <w:szCs w:val="22"/>
        </w:rPr>
        <w:t>[f s ʃ m n ɲ]</w:t>
      </w:r>
      <w:r>
        <w:rPr>
          <w:sz w:val="22"/>
          <w:szCs w:val="22"/>
        </w:rPr>
        <w:t xml:space="preserve"> – </w:t>
      </w:r>
      <w:r w:rsidRPr="00462BA8">
        <w:rPr>
          <w:sz w:val="22"/>
          <w:szCs w:val="22"/>
        </w:rPr>
        <w:t>com as oito possibilid</w:t>
      </w:r>
      <w:r>
        <w:rPr>
          <w:sz w:val="22"/>
          <w:szCs w:val="22"/>
        </w:rPr>
        <w:t xml:space="preserve">ades de realização de </w:t>
      </w:r>
      <w:r w:rsidR="005D3633">
        <w:rPr>
          <w:sz w:val="22"/>
          <w:szCs w:val="22"/>
        </w:rPr>
        <w:t>sons vocálicos</w:t>
      </w:r>
      <w:r>
        <w:rPr>
          <w:sz w:val="22"/>
          <w:szCs w:val="22"/>
        </w:rPr>
        <w:t xml:space="preserve"> – </w:t>
      </w:r>
      <w:r w:rsidRPr="00462BA8">
        <w:rPr>
          <w:sz w:val="22"/>
          <w:szCs w:val="22"/>
        </w:rPr>
        <w:t>[i e ɛ ə</w:t>
      </w:r>
      <w:r>
        <w:rPr>
          <w:sz w:val="22"/>
          <w:szCs w:val="22"/>
        </w:rPr>
        <w:t xml:space="preserve"> a ɔ o u] –</w:t>
      </w:r>
      <w:r w:rsidRPr="00462BA8">
        <w:rPr>
          <w:sz w:val="22"/>
          <w:szCs w:val="22"/>
        </w:rPr>
        <w:t xml:space="preserve"> totalizando 48 sílabas, ao que foram acrescidas mais cinco em que a consoante nasal bilabial fechava a sílaba iniciada pela fricativa lábio-dental desvozeada.</w:t>
      </w:r>
      <w:r w:rsidR="003C4E70">
        <w:rPr>
          <w:sz w:val="22"/>
          <w:szCs w:val="22"/>
        </w:rPr>
        <w:t xml:space="preserve"> </w:t>
      </w:r>
      <w:r w:rsidR="003C4E70" w:rsidRPr="00462BA8">
        <w:rPr>
          <w:sz w:val="22"/>
          <w:szCs w:val="22"/>
        </w:rPr>
        <w:t>Cada sílaba foi eliciada pela frase-veículo “Ele dirá ___ calmamente”.</w:t>
      </w:r>
      <w:r w:rsidR="003C4E70">
        <w:rPr>
          <w:sz w:val="22"/>
          <w:szCs w:val="22"/>
        </w:rPr>
        <w:t xml:space="preserve"> A</w:t>
      </w:r>
      <w:r>
        <w:rPr>
          <w:sz w:val="22"/>
          <w:szCs w:val="22"/>
        </w:rPr>
        <w:t>s cinco sílabas</w:t>
      </w:r>
      <w:r w:rsidR="003C4E70">
        <w:rPr>
          <w:sz w:val="22"/>
          <w:szCs w:val="22"/>
        </w:rPr>
        <w:t xml:space="preserve"> fechadas por nasais e </w:t>
      </w:r>
      <w:r w:rsidRPr="00462BA8">
        <w:rPr>
          <w:sz w:val="22"/>
          <w:szCs w:val="22"/>
        </w:rPr>
        <w:t xml:space="preserve">as </w:t>
      </w:r>
      <w:r w:rsidR="003C4E70">
        <w:rPr>
          <w:sz w:val="22"/>
          <w:szCs w:val="22"/>
        </w:rPr>
        <w:t xml:space="preserve">oito </w:t>
      </w:r>
      <w:r>
        <w:rPr>
          <w:sz w:val="22"/>
          <w:szCs w:val="22"/>
        </w:rPr>
        <w:t>sílabas iniciadas pela consoante palatal</w:t>
      </w:r>
      <w:r w:rsidRPr="00462BA8">
        <w:rPr>
          <w:sz w:val="22"/>
          <w:szCs w:val="22"/>
        </w:rPr>
        <w:t xml:space="preserve"> serviram como distratores dentro do instrumento</w:t>
      </w:r>
      <w:r>
        <w:rPr>
          <w:sz w:val="22"/>
          <w:szCs w:val="22"/>
        </w:rPr>
        <w:t xml:space="preserve"> e não foram consideradas para as medições</w:t>
      </w:r>
      <w:r w:rsidR="00043F91">
        <w:rPr>
          <w:sz w:val="22"/>
          <w:szCs w:val="22"/>
        </w:rPr>
        <w:t>,</w:t>
      </w:r>
      <w:r w:rsidR="000A601D">
        <w:rPr>
          <w:sz w:val="22"/>
          <w:szCs w:val="22"/>
        </w:rPr>
        <w:t xml:space="preserve"> o que ocasionou um total de 40 sílabas consideradas para as medições</w:t>
      </w:r>
      <w:r w:rsidRPr="00462BA8">
        <w:rPr>
          <w:sz w:val="22"/>
          <w:szCs w:val="22"/>
        </w:rPr>
        <w:t xml:space="preserve">. </w:t>
      </w:r>
      <w:r w:rsidR="000A601D">
        <w:rPr>
          <w:sz w:val="22"/>
          <w:szCs w:val="22"/>
        </w:rPr>
        <w:t>F</w:t>
      </w:r>
      <w:r>
        <w:rPr>
          <w:sz w:val="22"/>
          <w:szCs w:val="22"/>
        </w:rPr>
        <w:t xml:space="preserve">oram realizadas três gravações no mesmo dia, uma por turno – manhã, tarde e noite – em sete dias distintos com lapso de pelo menos uma semana entre os dias de gravação, totalizando </w:t>
      </w:r>
      <w:r w:rsidR="003C4E70">
        <w:rPr>
          <w:sz w:val="22"/>
          <w:szCs w:val="22"/>
        </w:rPr>
        <w:t xml:space="preserve">em torno de </w:t>
      </w:r>
      <w:r>
        <w:rPr>
          <w:sz w:val="22"/>
          <w:szCs w:val="22"/>
        </w:rPr>
        <w:t>21 gravações por indivíduo, em um grupo de vinte indivíduos.</w:t>
      </w:r>
    </w:p>
    <w:p w:rsidR="00470F1E" w:rsidRDefault="00470F1E" w:rsidP="00470F1E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Os parâmetros acústicos medidos foram os três primeiros formantes e suas larguras de banda, bem como a frequência fundamental dos sons vocálicos</w:t>
      </w:r>
      <w:r w:rsidR="003C4E70">
        <w:rPr>
          <w:sz w:val="22"/>
          <w:szCs w:val="22"/>
        </w:rPr>
        <w:t xml:space="preserve"> orais</w:t>
      </w:r>
      <w:r>
        <w:rPr>
          <w:sz w:val="22"/>
          <w:szCs w:val="22"/>
        </w:rPr>
        <w:t xml:space="preserve"> e das consoantes nasais bilabial e alveolar, tomados nas regiões de estabilidade. Foi utilizado o recurso de TextGrid do Praat para a marcação dos dados e uma adaptação do script de </w:t>
      </w:r>
      <w:r w:rsidRPr="00AF2940">
        <w:rPr>
          <w:sz w:val="22"/>
          <w:szCs w:val="22"/>
        </w:rPr>
        <w:t xml:space="preserve">McCloy e McGrath (2012), que permite a medição dos parâmetros acústicos com monitoramento do segmento </w:t>
      </w:r>
      <w:r w:rsidR="003C4E70">
        <w:rPr>
          <w:sz w:val="22"/>
          <w:szCs w:val="22"/>
        </w:rPr>
        <w:t>a ser</w:t>
      </w:r>
      <w:r w:rsidRPr="00AF2940">
        <w:rPr>
          <w:sz w:val="22"/>
          <w:szCs w:val="22"/>
        </w:rPr>
        <w:t xml:space="preserve"> medido através da janela de edição do Praat</w:t>
      </w:r>
      <w:r>
        <w:rPr>
          <w:sz w:val="22"/>
          <w:szCs w:val="22"/>
        </w:rPr>
        <w:t>.</w:t>
      </w:r>
    </w:p>
    <w:p w:rsidR="008E1F7C" w:rsidRDefault="00470F1E" w:rsidP="00470F1E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Os resultados das medições </w:t>
      </w:r>
      <w:r w:rsidR="00043F91">
        <w:rPr>
          <w:sz w:val="22"/>
          <w:szCs w:val="22"/>
        </w:rPr>
        <w:t>foram</w:t>
      </w:r>
      <w:r>
        <w:rPr>
          <w:sz w:val="22"/>
          <w:szCs w:val="22"/>
        </w:rPr>
        <w:t xml:space="preserve"> tabulados </w:t>
      </w:r>
      <w:r w:rsidR="00043F91">
        <w:rPr>
          <w:sz w:val="22"/>
          <w:szCs w:val="22"/>
        </w:rPr>
        <w:t>e os</w:t>
      </w:r>
      <w:r>
        <w:rPr>
          <w:sz w:val="22"/>
          <w:szCs w:val="22"/>
        </w:rPr>
        <w:t xml:space="preserve"> coeficientes de variação</w:t>
      </w:r>
      <w:r w:rsidR="008E1F7C">
        <w:rPr>
          <w:sz w:val="22"/>
          <w:szCs w:val="22"/>
        </w:rPr>
        <w:t xml:space="preserve"> serviram como base para se determinar as variabilidades intraindividuais e interindividuais para cada contexto silábico e para os diferentes parâmetros acústicos. A razão entre o coeficiente de variação intraindividual e o coeficiente de variação interindividual, ao que se </w:t>
      </w:r>
      <w:r w:rsidR="00EB03F5">
        <w:rPr>
          <w:sz w:val="22"/>
          <w:szCs w:val="22"/>
        </w:rPr>
        <w:t>denominou</w:t>
      </w:r>
      <w:r w:rsidR="008E1F7C">
        <w:rPr>
          <w:sz w:val="22"/>
          <w:szCs w:val="22"/>
        </w:rPr>
        <w:t xml:space="preserve"> </w:t>
      </w:r>
      <w:r w:rsidR="008E1F7C" w:rsidRPr="00EB03F5">
        <w:rPr>
          <w:b/>
          <w:sz w:val="22"/>
          <w:szCs w:val="22"/>
        </w:rPr>
        <w:t>Índice de Variabilidade</w:t>
      </w:r>
      <w:r w:rsidR="00CF310D">
        <w:rPr>
          <w:b/>
          <w:sz w:val="22"/>
          <w:szCs w:val="22"/>
        </w:rPr>
        <w:t xml:space="preserve"> </w:t>
      </w:r>
      <w:r w:rsidR="00CF310D" w:rsidRPr="00CF310D">
        <w:rPr>
          <w:sz w:val="22"/>
          <w:szCs w:val="22"/>
        </w:rPr>
        <w:t>(</w:t>
      </w:r>
      <w:r w:rsidR="00CF310D">
        <w:rPr>
          <w:sz w:val="22"/>
          <w:szCs w:val="22"/>
        </w:rPr>
        <w:t xml:space="preserve">doravante, </w:t>
      </w:r>
      <w:r w:rsidR="00CF310D" w:rsidRPr="00CF310D">
        <w:rPr>
          <w:sz w:val="22"/>
          <w:szCs w:val="22"/>
        </w:rPr>
        <w:t>IV)</w:t>
      </w:r>
      <w:r w:rsidR="008E1F7C">
        <w:rPr>
          <w:sz w:val="22"/>
          <w:szCs w:val="22"/>
        </w:rPr>
        <w:t>, serviu como referente para ordenar sílabas e parâmetros acústicos, no intuito de estabelecer os melhores candidatos para serem considerados no exame de Comparaç</w:t>
      </w:r>
      <w:r w:rsidR="00EB03F5">
        <w:rPr>
          <w:sz w:val="22"/>
          <w:szCs w:val="22"/>
        </w:rPr>
        <w:t>ão de Locutores, conforme apresentado no Quadro 1, a seguir.</w:t>
      </w:r>
    </w:p>
    <w:p w:rsidR="00CF310D" w:rsidRDefault="00CF310D" w:rsidP="00470F1E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Como conclusões gerais do trabalho, confirmou-se a consistência, já descrita na literatura, de </w:t>
      </w:r>
      <w:r w:rsidRPr="00CF310D">
        <w:rPr>
          <w:b/>
          <w:sz w:val="22"/>
          <w:szCs w:val="22"/>
        </w:rPr>
        <w:t xml:space="preserve">f0 </w:t>
      </w:r>
      <w:r>
        <w:rPr>
          <w:sz w:val="22"/>
          <w:szCs w:val="22"/>
        </w:rPr>
        <w:t xml:space="preserve">como parâmetro acústico para a CL. Além disso, </w:t>
      </w:r>
      <w:r>
        <w:rPr>
          <w:b/>
          <w:sz w:val="22"/>
          <w:szCs w:val="22"/>
        </w:rPr>
        <w:t xml:space="preserve">F2 </w:t>
      </w:r>
      <w:r>
        <w:rPr>
          <w:sz w:val="22"/>
          <w:szCs w:val="22"/>
        </w:rPr>
        <w:t xml:space="preserve"> e </w:t>
      </w:r>
      <w:r>
        <w:rPr>
          <w:b/>
          <w:sz w:val="22"/>
          <w:szCs w:val="22"/>
        </w:rPr>
        <w:t xml:space="preserve">F3 </w:t>
      </w:r>
      <w:r>
        <w:rPr>
          <w:sz w:val="22"/>
          <w:szCs w:val="22"/>
        </w:rPr>
        <w:t xml:space="preserve">apresentaram IV que os colocam favoravelmente como parâmetros acústicos para CL em relação a </w:t>
      </w:r>
      <w:r>
        <w:rPr>
          <w:b/>
          <w:sz w:val="22"/>
          <w:szCs w:val="22"/>
        </w:rPr>
        <w:t>F1</w:t>
      </w:r>
      <w:r>
        <w:rPr>
          <w:sz w:val="22"/>
          <w:szCs w:val="22"/>
        </w:rPr>
        <w:t xml:space="preserve">, que apresentou </w:t>
      </w:r>
      <w:r w:rsidR="000A601D">
        <w:rPr>
          <w:sz w:val="22"/>
          <w:szCs w:val="22"/>
        </w:rPr>
        <w:t>desempenho adequado apenas para as sílabas em que a vogal baixa participasse como núcleo. Além disso, o IV apresentou-se como adequado termo de comparação com outros eventuais parâmetros a serem definidos, no caso do trabalho em tela, o espaço acústico.</w:t>
      </w:r>
    </w:p>
    <w:p w:rsidR="00EB03F5" w:rsidRDefault="00EB03F5" w:rsidP="00470F1E">
      <w:pPr>
        <w:spacing w:line="240" w:lineRule="auto"/>
        <w:ind w:firstLine="851"/>
        <w:rPr>
          <w:sz w:val="22"/>
          <w:szCs w:val="22"/>
        </w:rPr>
      </w:pPr>
      <w:r w:rsidRPr="00DD5742">
        <w:rPr>
          <w:rFonts w:cs="Arial"/>
          <w:sz w:val="20"/>
        </w:rPr>
        <w:t xml:space="preserve">Quadro </w:t>
      </w:r>
      <w:r>
        <w:rPr>
          <w:rFonts w:cs="Arial"/>
          <w:sz w:val="20"/>
        </w:rPr>
        <w:t>1</w:t>
      </w:r>
      <w:r w:rsidRPr="00DD5742">
        <w:rPr>
          <w:rFonts w:cs="Arial"/>
          <w:sz w:val="20"/>
        </w:rPr>
        <w:t xml:space="preserve"> –</w:t>
      </w:r>
      <w:r>
        <w:rPr>
          <w:rFonts w:cs="Arial"/>
          <w:sz w:val="20"/>
        </w:rPr>
        <w:t xml:space="preserve"> Ordenamento das sílabas medidas pelo Índice de Variabilidade</w:t>
      </w:r>
    </w:p>
    <w:p w:rsidR="00EB03F5" w:rsidRDefault="00EB03F5" w:rsidP="00470F1E">
      <w:pPr>
        <w:spacing w:line="240" w:lineRule="auto"/>
        <w:ind w:firstLine="851"/>
        <w:rPr>
          <w:sz w:val="22"/>
          <w:szCs w:val="22"/>
        </w:rPr>
      </w:pPr>
      <w:r w:rsidRPr="00527378">
        <w:rPr>
          <w:noProof/>
        </w:rPr>
        <w:lastRenderedPageBreak/>
        <w:drawing>
          <wp:inline distT="0" distB="0" distL="0" distR="0" wp14:anchorId="077C0ACF" wp14:editId="3CB759B4">
            <wp:extent cx="4516341" cy="6045090"/>
            <wp:effectExtent l="0" t="0" r="0" b="0"/>
            <wp:docPr id="261" name="Imagem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360" cy="606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0D" w:rsidRPr="00CF310D" w:rsidRDefault="00CF310D" w:rsidP="00470F1E">
      <w:pPr>
        <w:spacing w:line="240" w:lineRule="auto"/>
        <w:ind w:firstLine="851"/>
        <w:rPr>
          <w:rFonts w:cs="Arial"/>
          <w:sz w:val="20"/>
        </w:rPr>
      </w:pPr>
      <w:r w:rsidRPr="00CF310D">
        <w:rPr>
          <w:rFonts w:cs="Arial"/>
          <w:sz w:val="20"/>
        </w:rPr>
        <w:t>Fonte: O Autor, 2017.</w:t>
      </w:r>
    </w:p>
    <w:p w:rsidR="00EB03F5" w:rsidRDefault="00EB03F5" w:rsidP="00470F1E">
      <w:pPr>
        <w:spacing w:line="240" w:lineRule="auto"/>
        <w:ind w:firstLine="851"/>
        <w:rPr>
          <w:sz w:val="22"/>
          <w:szCs w:val="22"/>
        </w:rPr>
      </w:pPr>
    </w:p>
    <w:p w:rsidR="00470F1E" w:rsidRPr="00FC71F5" w:rsidRDefault="00470F1E" w:rsidP="00470F1E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:rsidR="00470F1E" w:rsidRDefault="00470F1E" w:rsidP="00470F1E">
      <w:pPr>
        <w:spacing w:line="240" w:lineRule="auto"/>
        <w:rPr>
          <w:sz w:val="20"/>
          <w:szCs w:val="22"/>
        </w:rPr>
      </w:pPr>
    </w:p>
    <w:p w:rsidR="00470F1E" w:rsidRDefault="00470F1E" w:rsidP="00470F1E">
      <w:pPr>
        <w:spacing w:line="240" w:lineRule="auto"/>
        <w:rPr>
          <w:sz w:val="20"/>
          <w:szCs w:val="22"/>
        </w:rPr>
      </w:pPr>
      <w:r w:rsidRPr="00DE23A9">
        <w:rPr>
          <w:sz w:val="20"/>
          <w:szCs w:val="22"/>
        </w:rPr>
        <w:t>HOLLIEN, H. Forensic voice identification. London: Academic Press, 2002. 240 p.</w:t>
      </w:r>
    </w:p>
    <w:p w:rsidR="00470F1E" w:rsidRDefault="000A601D" w:rsidP="00470F1E">
      <w:pPr>
        <w:spacing w:line="240" w:lineRule="auto"/>
        <w:rPr>
          <w:sz w:val="20"/>
          <w:szCs w:val="22"/>
        </w:rPr>
      </w:pPr>
      <w:r w:rsidRPr="000A601D">
        <w:rPr>
          <w:sz w:val="20"/>
          <w:szCs w:val="22"/>
        </w:rPr>
        <w:t>HEUVEL, H. Speaker  variability in acoustic properties of Dutch phoneme realisations.  Nijmegen: Universidade Católica de Nijmegen. 1996. Obtido através do link "lands.let.kun.nl/literature/theses/heuvel_thesis.ps" em 20/10/2008.</w:t>
      </w:r>
      <w:r w:rsidR="00470F1E" w:rsidRPr="00FA4262">
        <w:rPr>
          <w:sz w:val="20"/>
          <w:szCs w:val="22"/>
        </w:rPr>
        <w:t>KERSTA, L.G. Voiceprint identification. Nature, v. 196, n. 1253-1257. 1962.</w:t>
      </w:r>
    </w:p>
    <w:p w:rsidR="00470F1E" w:rsidRPr="00FA4262" w:rsidRDefault="00470F1E" w:rsidP="00470F1E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 xml:space="preserve">McCLOY, D.; McGRATH, A. </w:t>
      </w:r>
      <w:r w:rsidRPr="00FA4262">
        <w:rPr>
          <w:sz w:val="20"/>
          <w:szCs w:val="22"/>
        </w:rPr>
        <w:t>Praat script "semi-auto formant extractor"</w:t>
      </w:r>
      <w:r>
        <w:rPr>
          <w:sz w:val="20"/>
          <w:szCs w:val="22"/>
        </w:rPr>
        <w:t xml:space="preserve">, Versão </w:t>
      </w:r>
      <w:r w:rsidRPr="00FA4262">
        <w:rPr>
          <w:sz w:val="20"/>
          <w:szCs w:val="22"/>
        </w:rPr>
        <w:t>0.3 (2012.05.05)</w:t>
      </w:r>
      <w:r>
        <w:rPr>
          <w:sz w:val="20"/>
          <w:szCs w:val="22"/>
        </w:rPr>
        <w:t>, obtido eletronicamente em “</w:t>
      </w:r>
      <w:r w:rsidRPr="007A53CE">
        <w:rPr>
          <w:sz w:val="20"/>
          <w:szCs w:val="22"/>
        </w:rPr>
        <w:t>https://github.com/drammock/praat-semiauto/blob/master/SemiAutoFormantExtractor.praat</w:t>
      </w:r>
      <w:r>
        <w:rPr>
          <w:sz w:val="20"/>
          <w:szCs w:val="22"/>
        </w:rPr>
        <w:t>”</w:t>
      </w:r>
    </w:p>
    <w:p w:rsidR="001D2633" w:rsidRPr="00470F1E" w:rsidRDefault="00470F1E" w:rsidP="000A601D">
      <w:pPr>
        <w:spacing w:line="240" w:lineRule="auto"/>
      </w:pPr>
      <w:r w:rsidRPr="00221D69">
        <w:rPr>
          <w:sz w:val="20"/>
          <w:szCs w:val="22"/>
        </w:rPr>
        <w:t xml:space="preserve">NOLAN, F. (2002). The ”telephone effect” on formants: a response. Forensic Linguistics, 9(1), 74–82. </w:t>
      </w:r>
      <w:hyperlink r:id="rId10" w:history="1">
        <w:r w:rsidRPr="00221D69">
          <w:rPr>
            <w:sz w:val="20"/>
            <w:szCs w:val="22"/>
          </w:rPr>
          <w:t>http://doi.org/10.1558/sll.2002.9.1.74</w:t>
        </w:r>
      </w:hyperlink>
    </w:p>
    <w:sectPr w:rsidR="001D2633" w:rsidRPr="00470F1E" w:rsidSect="003037F9">
      <w:headerReference w:type="default" r:id="rId11"/>
      <w:footerReference w:type="default" r:id="rId12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52" w:rsidRDefault="00544952" w:rsidP="003752F7">
      <w:pPr>
        <w:spacing w:line="240" w:lineRule="auto"/>
      </w:pPr>
      <w:r>
        <w:separator/>
      </w:r>
    </w:p>
  </w:endnote>
  <w:endnote w:type="continuationSeparator" w:id="0">
    <w:p w:rsidR="00544952" w:rsidRDefault="00544952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003EBC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52" w:rsidRDefault="00544952" w:rsidP="003752F7">
      <w:pPr>
        <w:spacing w:line="240" w:lineRule="auto"/>
      </w:pPr>
      <w:r>
        <w:separator/>
      </w:r>
    </w:p>
  </w:footnote>
  <w:footnote w:type="continuationSeparator" w:id="0">
    <w:p w:rsidR="00544952" w:rsidRDefault="00544952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>rnacional de Perícia Criminal e</w:t>
    </w:r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3EBC"/>
    <w:rsid w:val="000050E6"/>
    <w:rsid w:val="00007771"/>
    <w:rsid w:val="000110B8"/>
    <w:rsid w:val="000141D6"/>
    <w:rsid w:val="00014DC9"/>
    <w:rsid w:val="00026BC8"/>
    <w:rsid w:val="00042E0A"/>
    <w:rsid w:val="00043C0D"/>
    <w:rsid w:val="00043F91"/>
    <w:rsid w:val="00051A3B"/>
    <w:rsid w:val="00053737"/>
    <w:rsid w:val="00053FCD"/>
    <w:rsid w:val="00071541"/>
    <w:rsid w:val="00080175"/>
    <w:rsid w:val="00090BA6"/>
    <w:rsid w:val="000A601D"/>
    <w:rsid w:val="000B38F5"/>
    <w:rsid w:val="000C67DF"/>
    <w:rsid w:val="000C6C07"/>
    <w:rsid w:val="000D64F7"/>
    <w:rsid w:val="000E490F"/>
    <w:rsid w:val="000E62DA"/>
    <w:rsid w:val="001052AA"/>
    <w:rsid w:val="00115C7E"/>
    <w:rsid w:val="0012394C"/>
    <w:rsid w:val="00123D94"/>
    <w:rsid w:val="001451DD"/>
    <w:rsid w:val="0015364A"/>
    <w:rsid w:val="00164B3F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F5735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F7B50"/>
    <w:rsid w:val="003037F9"/>
    <w:rsid w:val="003212D0"/>
    <w:rsid w:val="0032165A"/>
    <w:rsid w:val="00334F29"/>
    <w:rsid w:val="0034706C"/>
    <w:rsid w:val="00353468"/>
    <w:rsid w:val="00357D88"/>
    <w:rsid w:val="00372A5D"/>
    <w:rsid w:val="003752F7"/>
    <w:rsid w:val="0037720B"/>
    <w:rsid w:val="00382120"/>
    <w:rsid w:val="003928AB"/>
    <w:rsid w:val="003C4E70"/>
    <w:rsid w:val="003D455E"/>
    <w:rsid w:val="003E761E"/>
    <w:rsid w:val="003F0931"/>
    <w:rsid w:val="003F6A7C"/>
    <w:rsid w:val="00423161"/>
    <w:rsid w:val="00425FB9"/>
    <w:rsid w:val="004264DD"/>
    <w:rsid w:val="00442AB9"/>
    <w:rsid w:val="00460049"/>
    <w:rsid w:val="004600AE"/>
    <w:rsid w:val="00460CF2"/>
    <w:rsid w:val="00470F1E"/>
    <w:rsid w:val="00473BD3"/>
    <w:rsid w:val="00474F95"/>
    <w:rsid w:val="00486A9E"/>
    <w:rsid w:val="00491EA9"/>
    <w:rsid w:val="004A1F23"/>
    <w:rsid w:val="004B1A67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3A8C"/>
    <w:rsid w:val="00544952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591D"/>
    <w:rsid w:val="005B6216"/>
    <w:rsid w:val="005D3633"/>
    <w:rsid w:val="005D3B1F"/>
    <w:rsid w:val="005E0339"/>
    <w:rsid w:val="005E75EF"/>
    <w:rsid w:val="006028E9"/>
    <w:rsid w:val="006044B2"/>
    <w:rsid w:val="00606784"/>
    <w:rsid w:val="006347BF"/>
    <w:rsid w:val="006378FF"/>
    <w:rsid w:val="00647C59"/>
    <w:rsid w:val="0065142A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33C52"/>
    <w:rsid w:val="00734E3C"/>
    <w:rsid w:val="00746985"/>
    <w:rsid w:val="00752ABD"/>
    <w:rsid w:val="00755A52"/>
    <w:rsid w:val="0078302E"/>
    <w:rsid w:val="00784AD1"/>
    <w:rsid w:val="0079623C"/>
    <w:rsid w:val="007A109C"/>
    <w:rsid w:val="007C522E"/>
    <w:rsid w:val="007D0DBB"/>
    <w:rsid w:val="007E2E1A"/>
    <w:rsid w:val="0080108D"/>
    <w:rsid w:val="008039FA"/>
    <w:rsid w:val="00804B34"/>
    <w:rsid w:val="00811620"/>
    <w:rsid w:val="00812F24"/>
    <w:rsid w:val="00813F18"/>
    <w:rsid w:val="00817160"/>
    <w:rsid w:val="00817AD8"/>
    <w:rsid w:val="00821CAD"/>
    <w:rsid w:val="00824730"/>
    <w:rsid w:val="008276C3"/>
    <w:rsid w:val="00832F16"/>
    <w:rsid w:val="008572CF"/>
    <w:rsid w:val="00857E91"/>
    <w:rsid w:val="00860EDC"/>
    <w:rsid w:val="008949B2"/>
    <w:rsid w:val="008B5B05"/>
    <w:rsid w:val="008D7AB4"/>
    <w:rsid w:val="008E1F7C"/>
    <w:rsid w:val="008E2991"/>
    <w:rsid w:val="00910D22"/>
    <w:rsid w:val="009217B6"/>
    <w:rsid w:val="00941837"/>
    <w:rsid w:val="00950EFD"/>
    <w:rsid w:val="00973188"/>
    <w:rsid w:val="009835D0"/>
    <w:rsid w:val="00987E5E"/>
    <w:rsid w:val="009A202B"/>
    <w:rsid w:val="009A5F55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30721"/>
    <w:rsid w:val="00A37102"/>
    <w:rsid w:val="00A51761"/>
    <w:rsid w:val="00A5398B"/>
    <w:rsid w:val="00A6702D"/>
    <w:rsid w:val="00A81023"/>
    <w:rsid w:val="00A9079D"/>
    <w:rsid w:val="00A9585D"/>
    <w:rsid w:val="00AE4966"/>
    <w:rsid w:val="00AE583C"/>
    <w:rsid w:val="00AF0BDD"/>
    <w:rsid w:val="00B00282"/>
    <w:rsid w:val="00B008DD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A23C0"/>
    <w:rsid w:val="00BA44CE"/>
    <w:rsid w:val="00BD2918"/>
    <w:rsid w:val="00BF6353"/>
    <w:rsid w:val="00C11825"/>
    <w:rsid w:val="00C1748C"/>
    <w:rsid w:val="00C22B26"/>
    <w:rsid w:val="00C26C44"/>
    <w:rsid w:val="00C630D3"/>
    <w:rsid w:val="00C86D3A"/>
    <w:rsid w:val="00C92FC6"/>
    <w:rsid w:val="00C92FFA"/>
    <w:rsid w:val="00CA7450"/>
    <w:rsid w:val="00CC0AEB"/>
    <w:rsid w:val="00CC6B7D"/>
    <w:rsid w:val="00CC7593"/>
    <w:rsid w:val="00CE4C43"/>
    <w:rsid w:val="00CE6D58"/>
    <w:rsid w:val="00CF0B20"/>
    <w:rsid w:val="00CF310D"/>
    <w:rsid w:val="00CF3290"/>
    <w:rsid w:val="00CF5D2A"/>
    <w:rsid w:val="00D026FA"/>
    <w:rsid w:val="00D03AB2"/>
    <w:rsid w:val="00D07C04"/>
    <w:rsid w:val="00D31E9E"/>
    <w:rsid w:val="00D348C0"/>
    <w:rsid w:val="00D55EBC"/>
    <w:rsid w:val="00D6094C"/>
    <w:rsid w:val="00D66DB9"/>
    <w:rsid w:val="00D7559F"/>
    <w:rsid w:val="00D83186"/>
    <w:rsid w:val="00D85888"/>
    <w:rsid w:val="00DB64DF"/>
    <w:rsid w:val="00DC0E24"/>
    <w:rsid w:val="00DD690F"/>
    <w:rsid w:val="00DE2ADD"/>
    <w:rsid w:val="00DF7C5F"/>
    <w:rsid w:val="00E30AA9"/>
    <w:rsid w:val="00E573A1"/>
    <w:rsid w:val="00E65FFC"/>
    <w:rsid w:val="00E97951"/>
    <w:rsid w:val="00E979DF"/>
    <w:rsid w:val="00EA3AA3"/>
    <w:rsid w:val="00EA47BE"/>
    <w:rsid w:val="00EA4AD4"/>
    <w:rsid w:val="00EB03F5"/>
    <w:rsid w:val="00EC6C1D"/>
    <w:rsid w:val="00EE266E"/>
    <w:rsid w:val="00EE70EE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80A2A"/>
    <w:rsid w:val="00F90DCE"/>
    <w:rsid w:val="00FB34C0"/>
    <w:rsid w:val="00FB6D6C"/>
    <w:rsid w:val="00FC2E7B"/>
    <w:rsid w:val="00FC3308"/>
    <w:rsid w:val="00FC5039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470F1E"/>
    <w:pPr>
      <w:suppressAutoHyphens/>
      <w:spacing w:line="240" w:lineRule="auto"/>
      <w:jc w:val="left"/>
    </w:pPr>
    <w:rPr>
      <w:rFonts w:ascii="Arial" w:eastAsia="MS Mincho" w:hAnsi="Arial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70F1E"/>
    <w:rPr>
      <w:rFonts w:ascii="Arial" w:eastAsia="MS Mincho" w:hAnsi="Arial" w:cs="Times New Roman"/>
      <w:sz w:val="20"/>
      <w:szCs w:val="20"/>
      <w:lang w:eastAsia="ar-SA"/>
    </w:rPr>
  </w:style>
  <w:style w:type="character" w:styleId="CitaoHTML">
    <w:name w:val="HTML Cite"/>
    <w:rsid w:val="000A601D"/>
    <w:rPr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470F1E"/>
    <w:pPr>
      <w:suppressAutoHyphens/>
      <w:spacing w:line="240" w:lineRule="auto"/>
      <w:jc w:val="left"/>
    </w:pPr>
    <w:rPr>
      <w:rFonts w:ascii="Arial" w:eastAsia="MS Mincho" w:hAnsi="Arial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470F1E"/>
    <w:rPr>
      <w:rFonts w:ascii="Arial" w:eastAsia="MS Mincho" w:hAnsi="Arial" w:cs="Times New Roman"/>
      <w:sz w:val="20"/>
      <w:szCs w:val="20"/>
      <w:lang w:eastAsia="ar-SA"/>
    </w:rPr>
  </w:style>
  <w:style w:type="character" w:styleId="CitaoHTML">
    <w:name w:val="HTML Cite"/>
    <w:rsid w:val="000A601D"/>
    <w:rPr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i.org/10.1558/sll.2002.9.1.7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D32A3-839E-4B52-AC82-BAD00989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2017-07-20T14:13:00Z</dcterms:created>
  <dcterms:modified xsi:type="dcterms:W3CDTF">2017-07-20T14:13:00Z</dcterms:modified>
</cp:coreProperties>
</file>