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charts/chart1.xml" ContentType="application/vnd.openxmlformats-officedocument.drawingml.chart+xml"/>
  <Override PartName="/word/charts/chart2.xml" ContentType="application/vnd.openxmlformats-officedocument.drawingml.chart+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67"/>
        <w:jc w:val="center"/>
        <w:rPr>
          <w:b/>
          <w:b/>
          <w:bCs/>
          <w:szCs w:val="24"/>
        </w:rPr>
      </w:pPr>
      <w:bookmarkStart w:id="0" w:name="__DdeLink__2544_936101387"/>
      <w:r>
        <w:rPr>
          <w:b/>
          <w:bCs/>
          <w:szCs w:val="24"/>
        </w:rPr>
        <w:t>DESEMPENHO DE JUVENIS DE JUNDIÁ (</w:t>
      </w:r>
      <w:r>
        <w:rPr>
          <w:b/>
          <w:bCs/>
          <w:i/>
          <w:szCs w:val="24"/>
        </w:rPr>
        <w:t>Rhamdia quelen</w:t>
      </w:r>
      <w:bookmarkEnd w:id="0"/>
      <w:r>
        <w:rPr>
          <w:b/>
          <w:bCs/>
          <w:szCs w:val="24"/>
        </w:rPr>
        <w:t>) CULTIVADO EM TANQUES-REDE SOB DIFERENTES PORCENTAGENS DE ARROÇOAMENTO ALIMENTADOS COM RAÇÕES DE SUPERFÍCIE E FUNDO</w:t>
      </w:r>
    </w:p>
    <w:p>
      <w:pPr>
        <w:pStyle w:val="Normal"/>
        <w:spacing w:lineRule="auto" w:line="240" w:before="0" w:after="0"/>
        <w:jc w:val="center"/>
        <w:rPr>
          <w:rFonts w:eastAsia="Times New Roman"/>
          <w:szCs w:val="24"/>
          <w:lang w:eastAsia="pt-BR"/>
        </w:rPr>
      </w:pPr>
      <w:r>
        <w:rPr>
          <w:rFonts w:eastAsia="Times New Roman"/>
          <w:szCs w:val="24"/>
          <w:lang w:eastAsia="pt-BR"/>
        </w:rPr>
      </w:r>
    </w:p>
    <w:p>
      <w:pPr>
        <w:pStyle w:val="Normal"/>
        <w:spacing w:lineRule="auto" w:line="240" w:before="0" w:after="0"/>
        <w:jc w:val="center"/>
        <w:rPr>
          <w:rFonts w:eastAsia="Times New Roman"/>
          <w:szCs w:val="24"/>
          <w:vertAlign w:val="superscript"/>
          <w:lang w:eastAsia="pt-BR"/>
        </w:rPr>
      </w:pPr>
      <w:r>
        <w:rPr>
          <w:rFonts w:eastAsia="Times New Roman"/>
          <w:szCs w:val="24"/>
          <w:lang w:eastAsia="pt-BR"/>
        </w:rPr>
        <w:t>Elisiane da Silva Figueiredo¹*, Adilson Reidel², Flavia Renata Potrich Signor³, André Luiz Watanabe</w:t>
      </w:r>
      <w:r>
        <w:rPr>
          <w:rFonts w:eastAsia="Times New Roman"/>
          <w:szCs w:val="24"/>
          <w:vertAlign w:val="superscript"/>
          <w:lang w:eastAsia="pt-BR"/>
        </w:rPr>
        <w:t>4</w:t>
      </w:r>
      <w:r>
        <w:rPr>
          <w:rFonts w:eastAsia="Times New Roman"/>
          <w:szCs w:val="24"/>
          <w:lang w:eastAsia="pt-BR"/>
        </w:rPr>
        <w:t>, Celso Carlos Buglione Neto</w:t>
      </w:r>
      <w:r>
        <w:rPr>
          <w:rFonts w:eastAsia="Times New Roman"/>
          <w:szCs w:val="24"/>
          <w:vertAlign w:val="superscript"/>
          <w:lang w:eastAsia="pt-BR"/>
        </w:rPr>
        <w:t>5</w:t>
      </w:r>
      <w:r>
        <w:rPr>
          <w:rFonts w:eastAsia="Times New Roman"/>
          <w:szCs w:val="24"/>
          <w:lang w:eastAsia="pt-BR"/>
        </w:rPr>
        <w:t>; Arcangelo Augusto Signor</w:t>
      </w:r>
      <w:r>
        <w:rPr>
          <w:rFonts w:eastAsia="Times New Roman"/>
          <w:szCs w:val="24"/>
          <w:vertAlign w:val="superscript"/>
          <w:lang w:eastAsia="pt-BR"/>
        </w:rPr>
        <w:t>6</w:t>
      </w:r>
    </w:p>
    <w:p>
      <w:pPr>
        <w:pStyle w:val="Normal"/>
        <w:spacing w:lineRule="auto" w:line="240" w:before="0" w:after="0"/>
        <w:jc w:val="center"/>
        <w:rPr>
          <w:rFonts w:eastAsia="Times New Roman"/>
          <w:b/>
          <w:b/>
          <w:color w:val="FF0000"/>
          <w:sz w:val="20"/>
          <w:szCs w:val="24"/>
          <w:lang w:eastAsia="pt-BR"/>
        </w:rPr>
      </w:pPr>
      <w:r>
        <w:rPr>
          <w:rFonts w:eastAsia="Times New Roman"/>
          <w:b/>
          <w:color w:val="FF0000"/>
          <w:sz w:val="20"/>
          <w:szCs w:val="24"/>
          <w:lang w:eastAsia="pt-BR"/>
        </w:rPr>
      </w:r>
    </w:p>
    <w:p>
      <w:pPr>
        <w:pStyle w:val="Normal"/>
        <w:spacing w:lineRule="auto" w:line="240" w:before="0" w:after="0"/>
        <w:jc w:val="both"/>
        <w:rPr/>
      </w:pPr>
      <w:r>
        <w:rPr>
          <w:rFonts w:eastAsia="Arial"/>
          <w:bCs/>
          <w:color w:val="000000"/>
          <w:sz w:val="20"/>
          <w:szCs w:val="24"/>
          <w:vertAlign w:val="superscript"/>
        </w:rPr>
        <w:t>1</w:t>
      </w:r>
      <w:hyperlink r:id="rId2">
        <w:r>
          <w:rPr>
            <w:rStyle w:val="LinkdaInternet"/>
            <w:sz w:val="20"/>
            <w:szCs w:val="24"/>
            <w:highlight w:val="white"/>
          </w:rPr>
          <w:t>elisiane.figueiredo@bol.com.br</w:t>
        </w:r>
      </w:hyperlink>
      <w:r>
        <w:rPr>
          <w:color w:val="555555"/>
          <w:sz w:val="20"/>
          <w:szCs w:val="24"/>
          <w:shd w:fill="FFFFFF" w:val="clear"/>
        </w:rPr>
        <w:t xml:space="preserve">. </w:t>
      </w:r>
      <w:r>
        <w:rPr>
          <w:rFonts w:eastAsia="Arial"/>
          <w:bCs/>
          <w:color w:val="000000"/>
          <w:sz w:val="20"/>
          <w:szCs w:val="24"/>
        </w:rPr>
        <w:t xml:space="preserve">Acadêmica do Curso de Engenharia de Aquicultura – IFPR/Foz do Iguaçu. </w:t>
      </w:r>
      <w:r>
        <w:rPr>
          <w:vertAlign w:val="superscript"/>
        </w:rPr>
        <w:t>2</w:t>
      </w:r>
      <w:hyperlink r:id="rId3">
        <w:r>
          <w:rPr>
            <w:rStyle w:val="LinkdaInternet"/>
            <w:rFonts w:eastAsia="Arial"/>
            <w:sz w:val="20"/>
            <w:szCs w:val="24"/>
          </w:rPr>
          <w:t>adilson.reidel@ifpr.edu.br</w:t>
        </w:r>
      </w:hyperlink>
      <w:r>
        <w:rPr>
          <w:rFonts w:eastAsia="Arial"/>
          <w:bCs/>
          <w:color w:val="000000"/>
          <w:sz w:val="20"/>
          <w:szCs w:val="24"/>
        </w:rPr>
        <w:t xml:space="preserve">. Doutorado em Aquicultura – IFPR/Foz do Iguaçu. </w:t>
      </w:r>
      <w:r>
        <w:rPr>
          <w:rFonts w:eastAsia="Arial"/>
          <w:bCs/>
          <w:color w:val="000000"/>
          <w:sz w:val="20"/>
          <w:szCs w:val="24"/>
          <w:vertAlign w:val="superscript"/>
        </w:rPr>
        <w:t>3</w:t>
      </w:r>
      <w:hyperlink r:id="rId4">
        <w:r>
          <w:rPr>
            <w:rStyle w:val="LinkdaInternet"/>
            <w:rFonts w:eastAsia="Arial"/>
            <w:sz w:val="20"/>
            <w:szCs w:val="24"/>
          </w:rPr>
          <w:t>flavia-potrich@hotmail.com</w:t>
        </w:r>
      </w:hyperlink>
      <w:r>
        <w:rPr>
          <w:rFonts w:eastAsia="Arial"/>
          <w:bCs/>
          <w:color w:val="000000"/>
          <w:sz w:val="20"/>
          <w:szCs w:val="24"/>
        </w:rPr>
        <w:t xml:space="preserve">. Doutoranda em Recursos Pesqueiros e Engenharia de Pesca – Unioeste/Toledo. </w:t>
      </w:r>
      <w:r>
        <w:rPr>
          <w:sz w:val="20"/>
          <w:szCs w:val="24"/>
          <w:shd w:fill="FFFFFF" w:val="clear"/>
          <w:vertAlign w:val="superscript"/>
        </w:rPr>
        <w:t>4</w:t>
      </w:r>
      <w:hyperlink r:id="rId5">
        <w:r>
          <w:rPr>
            <w:rStyle w:val="LinkdaInternet"/>
            <w:sz w:val="20"/>
            <w:szCs w:val="24"/>
            <w:highlight w:val="white"/>
          </w:rPr>
          <w:t>andrelw@itaipu.gov.br</w:t>
        </w:r>
      </w:hyperlink>
      <w:r>
        <w:rPr>
          <w:color w:val="555555"/>
          <w:sz w:val="20"/>
          <w:szCs w:val="24"/>
          <w:shd w:fill="FFFFFF" w:val="clear"/>
        </w:rPr>
        <w:t xml:space="preserve">. </w:t>
      </w:r>
      <w:r>
        <w:rPr>
          <w:sz w:val="20"/>
          <w:szCs w:val="24"/>
          <w:shd w:fill="FFFFFF" w:val="clear"/>
        </w:rPr>
        <w:t xml:space="preserve">Engenheiro Agrônomo, Itaipu Binacional/Foz do Iguaçu. </w:t>
      </w:r>
      <w:r>
        <w:rPr>
          <w:rFonts w:eastAsia="Arial"/>
          <w:bCs/>
          <w:color w:val="000000"/>
          <w:sz w:val="20"/>
          <w:szCs w:val="24"/>
          <w:vertAlign w:val="superscript"/>
        </w:rPr>
        <w:t>5</w:t>
      </w:r>
      <w:hyperlink r:id="rId6">
        <w:r>
          <w:rPr>
            <w:rStyle w:val="LinkdaInternet"/>
            <w:rFonts w:eastAsia="Arial"/>
            <w:sz w:val="20"/>
            <w:szCs w:val="24"/>
          </w:rPr>
          <w:t>celsoc@itaipu.gov.br</w:t>
        </w:r>
      </w:hyperlink>
      <w:r>
        <w:rPr>
          <w:rFonts w:eastAsia="Arial"/>
          <w:bCs/>
          <w:color w:val="000000"/>
          <w:sz w:val="20"/>
          <w:szCs w:val="24"/>
        </w:rPr>
        <w:t xml:space="preserve">.  </w:t>
      </w:r>
      <w:r>
        <w:rPr>
          <w:sz w:val="20"/>
          <w:szCs w:val="24"/>
          <w:shd w:fill="FFFFFF" w:val="clear"/>
        </w:rPr>
        <w:t xml:space="preserve">Mestre em Aquicultura, Itaipu Binacional/Foz do Iguaçu. </w:t>
      </w:r>
      <w:r>
        <w:rPr>
          <w:rFonts w:eastAsia="Arial"/>
          <w:bCs/>
          <w:color w:val="000000"/>
          <w:sz w:val="20"/>
          <w:szCs w:val="24"/>
          <w:vertAlign w:val="superscript"/>
        </w:rPr>
        <w:t>6</w:t>
      </w:r>
      <w:hyperlink r:id="rId7">
        <w:r>
          <w:rPr>
            <w:rStyle w:val="LinkdaInternet"/>
            <w:rFonts w:eastAsia="Arial"/>
            <w:sz w:val="20"/>
            <w:szCs w:val="24"/>
          </w:rPr>
          <w:t>arcangelo.signor@ifpr.edu.br</w:t>
        </w:r>
      </w:hyperlink>
      <w:r>
        <w:rPr>
          <w:rFonts w:eastAsia="Arial"/>
          <w:bCs/>
          <w:color w:val="000000"/>
          <w:sz w:val="20"/>
          <w:szCs w:val="24"/>
        </w:rPr>
        <w:t>. Doutorado em Zootecnia – IFPR/Foz do Iguaçu.</w:t>
      </w:r>
    </w:p>
    <w:p>
      <w:pPr>
        <w:pStyle w:val="Normal"/>
        <w:spacing w:lineRule="auto" w:line="240" w:before="0" w:after="0"/>
        <w:jc w:val="both"/>
        <w:rPr>
          <w:b/>
          <w:b/>
          <w:szCs w:val="24"/>
          <w:lang w:eastAsia="pt-BR"/>
        </w:rPr>
      </w:pPr>
      <w:r>
        <w:rPr>
          <w:b/>
          <w:szCs w:val="24"/>
          <w:lang w:eastAsia="pt-BR"/>
        </w:rPr>
      </w:r>
    </w:p>
    <w:p>
      <w:pPr>
        <w:pStyle w:val="Normal"/>
        <w:spacing w:lineRule="auto" w:line="240" w:before="0" w:after="0"/>
        <w:jc w:val="both"/>
        <w:rPr>
          <w:b/>
          <w:b/>
          <w:szCs w:val="24"/>
          <w:lang w:eastAsia="pt-BR"/>
        </w:rPr>
      </w:pPr>
      <w:r>
        <w:rPr>
          <w:b/>
          <w:szCs w:val="24"/>
          <w:lang w:eastAsia="pt-BR"/>
        </w:rPr>
      </w:r>
    </w:p>
    <w:p>
      <w:pPr>
        <w:pStyle w:val="Normal"/>
        <w:spacing w:lineRule="auto" w:line="240" w:before="0" w:after="0"/>
        <w:jc w:val="both"/>
        <w:rPr>
          <w:b/>
          <w:b/>
          <w:szCs w:val="24"/>
          <w:lang w:eastAsia="pt-BR"/>
        </w:rPr>
      </w:pPr>
      <w:r>
        <w:rPr>
          <w:b/>
          <w:szCs w:val="24"/>
          <w:lang w:eastAsia="pt-BR"/>
        </w:rPr>
        <w:t>RESUMO</w:t>
      </w:r>
    </w:p>
    <w:p>
      <w:pPr>
        <w:pStyle w:val="Normal"/>
        <w:spacing w:lineRule="auto" w:line="240" w:before="0" w:after="0"/>
        <w:jc w:val="both"/>
        <w:rPr>
          <w:color w:val="000000"/>
          <w:szCs w:val="24"/>
        </w:rPr>
      </w:pPr>
      <w:r>
        <w:rPr>
          <w:bCs/>
          <w:szCs w:val="24"/>
        </w:rPr>
        <w:t>O objetivo do presente trabalho foi avaliar o desempenho de juvenis de jundiá (</w:t>
      </w:r>
      <w:r>
        <w:rPr>
          <w:bCs/>
          <w:i/>
          <w:szCs w:val="24"/>
        </w:rPr>
        <w:t>Rhamdia quelen</w:t>
      </w:r>
      <w:r>
        <w:rPr>
          <w:bCs/>
          <w:szCs w:val="24"/>
        </w:rPr>
        <w:t>) cultivado em tanques-rede sob diferentes porcentagens de arroçoamento alimentados com rações de superfície e fundo. Foram utilizados 3200 juvenis</w:t>
      </w:r>
      <w:r>
        <w:rPr>
          <w:szCs w:val="24"/>
        </w:rPr>
        <w:t xml:space="preserve"> de jundiá </w:t>
      </w:r>
      <w:r>
        <w:rPr>
          <w:i/>
          <w:szCs w:val="24"/>
        </w:rPr>
        <w:t>R.</w:t>
      </w:r>
      <w:r>
        <w:rPr>
          <w:szCs w:val="24"/>
        </w:rPr>
        <w:t xml:space="preserve"> </w:t>
      </w:r>
      <w:r>
        <w:rPr>
          <w:i/>
          <w:szCs w:val="24"/>
        </w:rPr>
        <w:t>quelen</w:t>
      </w:r>
      <w:r>
        <w:rPr>
          <w:szCs w:val="24"/>
        </w:rPr>
        <w:t xml:space="preserve">, com peso médio de 45,01±5,07 gramas de peso vivo, distribuídos alatoriamente em 32 tanques-rede (0,8m³ de volume útil) durante 90 dias. O delineamento foi em esquema fatorial, com diferentes porcentagens de arraçoamento: 2, 5, 8, 11% do peso vivo; dois tipos de ração: superfície (extrusada) e fundo (peletizada) e quatro repetições, em esquema fatorial (4 x 2 x 4). O fornecimento de ração com pelletes de 2mm, foi </w:t>
      </w:r>
      <w:r>
        <w:rPr>
          <w:i/>
          <w:szCs w:val="24"/>
        </w:rPr>
        <w:t>ad libitum</w:t>
      </w:r>
      <w:r>
        <w:rPr>
          <w:szCs w:val="24"/>
        </w:rPr>
        <w:t>, em cinco arraçoamentos diários (8:00; 10:30; 13:30; 15:00 e 17:00 horas).  Não foram observadas influencias (P&gt;0,05) sobre os parâmetros de peso final, ganho de peso, sobrevivência, conversão alimentar aparente, taxa de crescimento índice hepatossomatico e gordura visceral</w:t>
      </w:r>
      <w:r>
        <w:rPr>
          <w:rFonts w:eastAsia="Calibri" w:eastAsiaTheme="minorHAnsi"/>
          <w:szCs w:val="24"/>
        </w:rPr>
        <w:t xml:space="preserve">, entre os diferentes tipos de ração peletizada e extrusada. Com relação ao percentual de arraçoamento observou-se influencia efeito linear diretamente proporcional para o consumo de ração e a </w:t>
      </w:r>
      <w:r>
        <w:rPr>
          <w:szCs w:val="24"/>
        </w:rPr>
        <w:t xml:space="preserve">conversão alimentar aparente. Os percentuais de arraçoamento adotados e as </w:t>
      </w:r>
      <w:r>
        <w:rPr>
          <w:bCs/>
          <w:szCs w:val="24"/>
        </w:rPr>
        <w:t xml:space="preserve">rações de superfície (extrusada) e fundo (peletizada) </w:t>
      </w:r>
      <w:r>
        <w:rPr>
          <w:szCs w:val="24"/>
        </w:rPr>
        <w:t>não apresentaram diferença significativa (P&lt;0,05) sobre a composição centesimal da carcaça dos peixes. Com relação aos parâmetros hematológicos e bioquímicos observou-se influenciadas (P&gt;0,05) dos tipos de ração (peletizada e extrusada) sobre os parâmetros eritrócitos, volume corpuscular médio, proteína plasmática total e colesterol total. Em função da conversão alimentar aparente, recomenda-se 2% de arraçoamento para juvenis de jundia, independentemente dos tipos de ração a ser adotado superfície ou fundo</w:t>
      </w:r>
      <w:r>
        <w:rPr>
          <w:color w:val="000000"/>
          <w:szCs w:val="24"/>
        </w:rPr>
        <w:t>.</w:t>
      </w:r>
    </w:p>
    <w:p>
      <w:pPr>
        <w:pStyle w:val="Normal"/>
        <w:spacing w:lineRule="auto" w:line="240" w:before="0" w:after="0"/>
        <w:rPr>
          <w:rFonts w:eastAsia="Times New Roman"/>
          <w:b/>
          <w:b/>
          <w:bCs/>
          <w:szCs w:val="24"/>
          <w:lang w:eastAsia="pt-BR"/>
        </w:rPr>
      </w:pPr>
      <w:r>
        <w:rPr>
          <w:rFonts w:eastAsia="Times New Roman"/>
          <w:b/>
          <w:bCs/>
          <w:szCs w:val="24"/>
          <w:lang w:eastAsia="pt-BR"/>
        </w:rPr>
      </w:r>
    </w:p>
    <w:p>
      <w:pPr>
        <w:pStyle w:val="Normal"/>
        <w:spacing w:lineRule="auto" w:line="240" w:before="0" w:after="0"/>
        <w:rPr>
          <w:rFonts w:eastAsia="Times New Roman"/>
          <w:szCs w:val="24"/>
          <w:lang w:eastAsia="pt-BR"/>
        </w:rPr>
      </w:pPr>
      <w:r>
        <w:rPr>
          <w:rFonts w:eastAsia="Times New Roman"/>
          <w:b/>
          <w:bCs/>
          <w:szCs w:val="24"/>
          <w:lang w:eastAsia="pt-BR"/>
        </w:rPr>
        <w:t xml:space="preserve">Palavras-chave: </w:t>
      </w:r>
      <w:r>
        <w:rPr>
          <w:rFonts w:eastAsia="Times New Roman"/>
          <w:bCs/>
          <w:szCs w:val="24"/>
          <w:lang w:eastAsia="pt-BR"/>
        </w:rPr>
        <w:t>Peixes nativos; Piscicultura; Sistema intensivo</w:t>
      </w:r>
    </w:p>
    <w:p>
      <w:pPr>
        <w:pStyle w:val="Normal"/>
        <w:spacing w:lineRule="auto" w:line="240" w:before="0" w:after="0"/>
        <w:jc w:val="both"/>
        <w:rPr>
          <w:rFonts w:eastAsia="Times New Roman"/>
          <w:b/>
          <w:b/>
          <w:bCs/>
          <w:szCs w:val="24"/>
          <w:lang w:eastAsia="pt-BR"/>
        </w:rPr>
      </w:pPr>
      <w:r>
        <w:rPr>
          <w:rFonts w:eastAsia="Times New Roman"/>
          <w:b/>
          <w:bCs/>
          <w:szCs w:val="24"/>
          <w:lang w:eastAsia="pt-BR"/>
        </w:rPr>
      </w:r>
    </w:p>
    <w:p>
      <w:pPr>
        <w:pStyle w:val="Normal"/>
        <w:spacing w:lineRule="auto" w:line="240" w:before="0" w:after="0"/>
        <w:jc w:val="both"/>
        <w:rPr>
          <w:b/>
          <w:b/>
          <w:szCs w:val="24"/>
          <w:lang w:eastAsia="pt-BR"/>
        </w:rPr>
      </w:pPr>
      <w:r>
        <w:rPr>
          <w:b/>
          <w:szCs w:val="24"/>
          <w:lang w:eastAsia="pt-BR"/>
        </w:rPr>
        <w:t>ABSTRAT</w:t>
      </w:r>
    </w:p>
    <w:p>
      <w:pPr>
        <w:pStyle w:val="Normal"/>
        <w:spacing w:lineRule="auto" w:line="240" w:before="0" w:after="0"/>
        <w:jc w:val="both"/>
        <w:rPr>
          <w:b/>
          <w:b/>
          <w:szCs w:val="24"/>
          <w:lang w:eastAsia="pt-BR"/>
        </w:rPr>
      </w:pPr>
      <w:r>
        <w:rPr>
          <w:b/>
          <w:szCs w:val="24"/>
          <w:lang w:eastAsia="pt-BR"/>
        </w:rPr>
      </w:r>
    </w:p>
    <w:p>
      <w:pPr>
        <w:pStyle w:val="Normal"/>
        <w:shd w:val="clear" w:color="auto"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eastAsia="Times New Roman"/>
          <w:szCs w:val="24"/>
          <w:lang w:eastAsia="pt-BR"/>
        </w:rPr>
      </w:pPr>
      <w:r>
        <w:rPr>
          <w:rFonts w:eastAsia="Times New Roman"/>
          <w:szCs w:val="24"/>
          <w:lang w:val="en" w:eastAsia="pt-BR"/>
        </w:rPr>
        <w:t>The objective of the present work was to evaluate the performance of juveniles of jundiá (Rhamdia quelen) cultivated in net tanks under different percentages of breeding fed with surface and bottom rations. A total of 3200 juveniles of jundiá R. quelen were used, with an average weight of 45.01 ± 5.07 grams of live weight, distributed at 32 net tanks (0,8m³ of useful volume) for 90 days. The design was in a factorial scheme, with different percentages of feeding: 2, 5, 8, 11% of live weight; Two types of feed: surface (extruded) and bottom (pelleted) and four replications, in a factorial scheme (4 x 2 x 4). The feed of 2mm pellets was ad libitum in five daily rations (8:00, 10:30, 13:30, 15:00 and 17:00 hours). No influences were observed (P&gt;0.05) on the parameters of final weight, weight gain, survival, apparent feed conversion, hepatosomatic index growth rate and visceral fat, among the different types of pelleted and extruded rations. Regarding the percentage of feeding, it was observed influence linear effect directly proportional to feed consumption and apparent feed conversion. No significant difference (P&lt;0.05) was observed in the centesimal composition of the fish carcass. Regarding the hematological and biochemical parameters, (P&gt;0.05) of the types of diet (pelleted and extruded) were influenced on erythrocytes, mean corpuscular volume, total plasma protein and total cholesterol. As a function of the apparent feed conversion, 2% of feed is recommended for jundia juveniles, regardless of the type of feed to be used surface or bottom.</w:t>
      </w:r>
    </w:p>
    <w:p>
      <w:pPr>
        <w:pStyle w:val="Normal"/>
        <w:spacing w:lineRule="auto" w:line="240" w:before="0" w:after="0"/>
        <w:rPr>
          <w:rFonts w:eastAsia="Times New Roman"/>
          <w:b/>
          <w:b/>
          <w:bCs/>
          <w:szCs w:val="24"/>
          <w:lang w:eastAsia="pt-BR"/>
        </w:rPr>
      </w:pPr>
      <w:r>
        <w:rPr>
          <w:rFonts w:eastAsia="Times New Roman"/>
          <w:b/>
          <w:bCs/>
          <w:szCs w:val="24"/>
          <w:lang w:eastAsia="pt-BR"/>
        </w:rPr>
      </w:r>
    </w:p>
    <w:p>
      <w:pPr>
        <w:pStyle w:val="HTMLPreformatted"/>
        <w:shd w:val="clear" w:color="auto" w:fill="FFFFFF"/>
        <w:rPr>
          <w:rFonts w:ascii="Times New Roman" w:hAnsi="Times New Roman" w:cs="Times New Roman"/>
          <w:color w:val="212121"/>
          <w:sz w:val="24"/>
          <w:szCs w:val="24"/>
        </w:rPr>
      </w:pPr>
      <w:r>
        <w:rPr>
          <w:rFonts w:cs="Times New Roman" w:ascii="Times New Roman" w:hAnsi="Times New Roman"/>
          <w:b/>
          <w:bCs/>
          <w:sz w:val="24"/>
          <w:szCs w:val="24"/>
        </w:rPr>
        <w:t xml:space="preserve">Key words: </w:t>
      </w:r>
      <w:r>
        <w:rPr>
          <w:rFonts w:cs="Times New Roman" w:ascii="Times New Roman" w:hAnsi="Times New Roman"/>
          <w:color w:val="212121"/>
          <w:sz w:val="24"/>
          <w:szCs w:val="24"/>
          <w:lang w:val="en"/>
        </w:rPr>
        <w:t>Native fish; Fish farming; Intensive system</w:t>
      </w:r>
    </w:p>
    <w:p>
      <w:pPr>
        <w:pStyle w:val="Normal"/>
        <w:spacing w:lineRule="auto" w:line="240" w:before="0" w:after="0"/>
        <w:rPr>
          <w:rFonts w:eastAsia="Times New Roman"/>
          <w:szCs w:val="24"/>
          <w:lang w:eastAsia="pt-BR"/>
        </w:rPr>
      </w:pPr>
      <w:r>
        <w:rPr>
          <w:rFonts w:eastAsia="Times New Roman"/>
          <w:szCs w:val="24"/>
          <w:lang w:eastAsia="pt-BR"/>
        </w:rPr>
      </w:r>
    </w:p>
    <w:p>
      <w:pPr>
        <w:pStyle w:val="Ttulo1"/>
        <w:spacing w:before="0" w:after="0"/>
        <w:ind w:left="360" w:hanging="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1"/>
        </w:numPr>
        <w:spacing w:lineRule="auto" w:line="240" w:before="0" w:after="0"/>
        <w:ind w:left="426" w:hanging="426"/>
        <w:rPr>
          <w:b/>
          <w:b/>
          <w:szCs w:val="24"/>
        </w:rPr>
      </w:pPr>
      <w:r>
        <w:rPr>
          <w:b/>
          <w:szCs w:val="24"/>
        </w:rPr>
        <w:t>INTRODUÇÃO</w:t>
      </w:r>
    </w:p>
    <w:p>
      <w:pPr>
        <w:pStyle w:val="Normal"/>
        <w:tabs>
          <w:tab w:val="left" w:pos="4140" w:leader="none"/>
        </w:tabs>
        <w:spacing w:lineRule="auto" w:line="240" w:before="0" w:after="0"/>
        <w:ind w:firstLine="539"/>
        <w:jc w:val="both"/>
        <w:rPr>
          <w:color w:val="000000"/>
          <w:szCs w:val="24"/>
        </w:rPr>
      </w:pPr>
      <w:r>
        <w:rPr>
          <w:color w:val="000000"/>
          <w:szCs w:val="24"/>
        </w:rPr>
      </w:r>
    </w:p>
    <w:p>
      <w:pPr>
        <w:pStyle w:val="Normal"/>
        <w:spacing w:lineRule="auto" w:line="240" w:before="0" w:after="0"/>
        <w:ind w:firstLine="567"/>
        <w:jc w:val="both"/>
        <w:rPr>
          <w:szCs w:val="24"/>
        </w:rPr>
      </w:pPr>
      <w:r>
        <w:rPr>
          <w:rFonts w:eastAsia="Calibri" w:eastAsiaTheme="minorHAnsi"/>
          <w:szCs w:val="24"/>
        </w:rPr>
        <w:t>O jundiá (</w:t>
      </w:r>
      <w:r>
        <w:rPr>
          <w:rFonts w:eastAsia="Calibri" w:eastAsiaTheme="minorHAnsi"/>
          <w:i/>
          <w:iCs/>
          <w:szCs w:val="24"/>
        </w:rPr>
        <w:t>Rhamdia quelen</w:t>
      </w:r>
      <w:r>
        <w:rPr>
          <w:rFonts w:eastAsia="Calibri" w:eastAsiaTheme="minorHAnsi"/>
          <w:szCs w:val="24"/>
        </w:rPr>
        <w:t xml:space="preserve">) é uma espécie nativa da região sul destaca-se por adaptarem-se a baixas </w:t>
      </w:r>
      <w:r>
        <w:rPr>
          <w:szCs w:val="24"/>
        </w:rPr>
        <w:t xml:space="preserve">temperaturas de cultivo (ZANIBONI-FILHO, 2000), além, de não possuir espinhos intramusculares, que resultam em uma boa aceitação no mercado consumidor. </w:t>
      </w:r>
    </w:p>
    <w:p>
      <w:pPr>
        <w:pStyle w:val="Normal"/>
        <w:spacing w:lineRule="auto" w:line="240" w:before="0" w:after="0"/>
        <w:ind w:firstLine="567"/>
        <w:jc w:val="both"/>
        <w:rPr>
          <w:rFonts w:eastAsia="Calibri" w:eastAsiaTheme="minorHAnsi"/>
          <w:szCs w:val="24"/>
        </w:rPr>
      </w:pPr>
      <w:r>
        <w:rPr>
          <w:rFonts w:eastAsia="Calibri" w:eastAsiaTheme="minorHAnsi"/>
          <w:szCs w:val="24"/>
        </w:rPr>
        <w:t>Contudo, para obter-se um manejo alimentar eficiente, deve-se avaliar a taxa e freqüência de alimentação, além de métodos de dispersão do alimento correto. A taxa de alimentação influencia tanto o crescimento quanto a eficiência alimentar dos peixes, e o seu crescimento é diretamente proporcional à taxa de arraçoamento empregada (NG et al., 2000; MIHELAKAKIS et al., 2002; EROLDOGAN et al., 2004).</w:t>
      </w:r>
    </w:p>
    <w:p>
      <w:pPr>
        <w:pStyle w:val="Normal"/>
        <w:spacing w:lineRule="auto" w:line="240" w:before="0" w:after="0"/>
        <w:ind w:firstLine="567"/>
        <w:jc w:val="both"/>
        <w:rPr>
          <w:szCs w:val="24"/>
        </w:rPr>
      </w:pPr>
      <w:r>
        <w:rPr>
          <w:szCs w:val="24"/>
        </w:rPr>
        <w:t>A determinação da porcentagem de alimentação ideal para os peixes deve associar os parâmetros de ganho de peso, conversão alimentar, retorno econômico, qualidade de água, saúde, entre outros (HILBIG et al., 2012), influenciando no crescimento (NG et al., 2000; QIAN et al., 2001; VAN HAM et al., 2003) na conversão alimentar aparente (MARQUES et al., 2004; MEURER et al., 2005), na qualidade de água, tornando os peixes suscetíveis a doenças (MEURER et al., 2005).</w:t>
      </w:r>
    </w:p>
    <w:p>
      <w:pPr>
        <w:pStyle w:val="Normal"/>
        <w:spacing w:lineRule="auto" w:line="240" w:before="0" w:after="0"/>
        <w:ind w:firstLine="567"/>
        <w:jc w:val="both"/>
        <w:rPr>
          <w:szCs w:val="24"/>
        </w:rPr>
      </w:pPr>
      <w:r>
        <w:rPr>
          <w:szCs w:val="24"/>
        </w:rPr>
        <w:t xml:space="preserve"> </w:t>
      </w:r>
      <w:r>
        <w:rPr>
          <w:szCs w:val="24"/>
        </w:rPr>
        <w:t>Desta forma o conhecimento do número mais adequado de arraçoamento contribui ainda para a redução do desperdício de alimento, garantindo a qualidade da água e reduzindo os custos de produção (CARNEIRO e MIKOS, 2005). A quantidade de ração fornecida para os peixes varia em função da temperatura (HIDALGO et al., 1987; SANTIAGO et al., 1987), fase de crescimento do peixe (DENG et al., 2003), qualidade de água, principalmente amônia e oxigênio dissolvido (KUBITZA, 1997).</w:t>
      </w:r>
    </w:p>
    <w:p>
      <w:pPr>
        <w:pStyle w:val="Normal"/>
        <w:spacing w:lineRule="auto" w:line="240" w:before="0" w:after="0"/>
        <w:ind w:firstLine="567"/>
        <w:jc w:val="both"/>
        <w:rPr>
          <w:bCs/>
          <w:szCs w:val="24"/>
        </w:rPr>
      </w:pPr>
      <w:r>
        <w:rPr>
          <w:szCs w:val="24"/>
        </w:rPr>
        <w:t xml:space="preserve">Portanto para um bom manejo alimentar, deve-se determinar a porcentagem de alimentação ideal, que contribui ainda para a redução do desperdício de alimento, garantindo a qualidade da água e reduzindo os custos de produção. Neste sentido, o </w:t>
      </w:r>
      <w:r>
        <w:rPr>
          <w:bCs/>
          <w:szCs w:val="24"/>
        </w:rPr>
        <w:t>objetivo do presente trabalho foi determinar a porcentagem de arraçoamento de juvenis de jundiá (</w:t>
      </w:r>
      <w:r>
        <w:rPr>
          <w:bCs/>
          <w:i/>
          <w:szCs w:val="24"/>
        </w:rPr>
        <w:t>Rhamdia quelen</w:t>
      </w:r>
      <w:r>
        <w:rPr>
          <w:bCs/>
          <w:szCs w:val="24"/>
        </w:rPr>
        <w:t xml:space="preserve">) cultivados em tanques-rede, alimentados com rações de superfície (extrusada) e fundo (peletizada) sobre o desempenho produtivo. </w:t>
      </w:r>
    </w:p>
    <w:p>
      <w:pPr>
        <w:pStyle w:val="Normal"/>
        <w:rPr>
          <w:lang w:eastAsia="pt-BR"/>
        </w:rPr>
      </w:pPr>
      <w:r>
        <w:rPr>
          <w:lang w:eastAsia="pt-BR"/>
        </w:rPr>
      </w:r>
    </w:p>
    <w:p>
      <w:pPr>
        <w:pStyle w:val="Ttulo1"/>
        <w:spacing w:before="0" w:after="0"/>
        <w:jc w:val="both"/>
        <w:rPr>
          <w:rFonts w:ascii="Times New Roman" w:hAnsi="Times New Roman" w:cs="Times New Roman"/>
          <w:sz w:val="24"/>
          <w:szCs w:val="24"/>
        </w:rPr>
      </w:pPr>
      <w:r>
        <w:rPr>
          <w:rFonts w:cs="Times New Roman" w:ascii="Times New Roman" w:hAnsi="Times New Roman"/>
          <w:sz w:val="24"/>
          <w:szCs w:val="24"/>
        </w:rPr>
        <w:t>2- MATERIAL E MÉTODOS</w:t>
      </w:r>
    </w:p>
    <w:p>
      <w:pPr>
        <w:pStyle w:val="Ttulo1"/>
        <w:spacing w:before="0" w:after="0"/>
        <w:jc w:val="both"/>
        <w:rPr>
          <w:rFonts w:ascii="Times New Roman" w:hAnsi="Times New Roman" w:cs="Times New Roman"/>
          <w:caps/>
          <w:sz w:val="24"/>
          <w:szCs w:val="24"/>
        </w:rPr>
      </w:pPr>
      <w:r>
        <w:rPr>
          <w:rFonts w:cs="Times New Roman" w:ascii="Times New Roman" w:hAnsi="Times New Roman"/>
          <w:caps/>
          <w:sz w:val="24"/>
          <w:szCs w:val="24"/>
        </w:rPr>
      </w:r>
    </w:p>
    <w:p>
      <w:pPr>
        <w:pStyle w:val="Normal"/>
        <w:spacing w:lineRule="auto" w:line="240" w:before="0" w:after="0"/>
        <w:ind w:firstLine="567"/>
        <w:jc w:val="both"/>
        <w:rPr>
          <w:szCs w:val="24"/>
        </w:rPr>
      </w:pPr>
      <w:r>
        <w:rPr>
          <w:szCs w:val="24"/>
        </w:rPr>
        <w:t xml:space="preserve">O projeto foi desenvolvido na </w:t>
      </w:r>
      <w:r>
        <w:rPr>
          <w:szCs w:val="24"/>
          <w:shd w:fill="FFFFFF" w:val="clear"/>
        </w:rPr>
        <w:t>Estação de Pesquisa em Piscicultura e Ecologia de Espécies Nativas</w:t>
      </w:r>
      <w:r>
        <w:rPr>
          <w:szCs w:val="24"/>
          <w:lang w:val="pt-PT"/>
        </w:rPr>
        <w:t xml:space="preserve">, no Reservatório de Itaipu Binacional, por um </w:t>
      </w:r>
      <w:r>
        <w:rPr>
          <w:szCs w:val="24"/>
        </w:rPr>
        <w:t>período de 90 dias.</w:t>
      </w:r>
    </w:p>
    <w:p>
      <w:pPr>
        <w:pStyle w:val="Normal"/>
        <w:spacing w:lineRule="auto" w:line="240" w:before="0" w:after="0"/>
        <w:ind w:firstLine="567"/>
        <w:jc w:val="both"/>
        <w:rPr>
          <w:szCs w:val="24"/>
        </w:rPr>
      </w:pPr>
      <w:r>
        <w:rPr>
          <w:szCs w:val="24"/>
        </w:rPr>
        <w:t xml:space="preserve">Foram utilizados 3200 juvenis de jundiá, com peso médio de 45,01±5,07 gramas de peso vivo, distribuídos alatoriamente em 32 tanques-rede (0,8m³ de volume útil). Os peixes foram alimentados com rações comerciais com 35% de proteína bruta e peletes 2mm. O delineamento foi em esquema fatorial, com diferentes porcentagens de arraçoamento: 2, 5, 8, 11% do peso vivo; dois tipos de ração: superfície (extrusada) e fundo (peletizada) e quatro repetições, em esquema fatorial (4 x 2 x 4). O fornecimento de ração nesta fase foi </w:t>
      </w:r>
      <w:r>
        <w:rPr>
          <w:i/>
          <w:szCs w:val="24"/>
        </w:rPr>
        <w:t>ad libitum</w:t>
      </w:r>
      <w:r>
        <w:rPr>
          <w:szCs w:val="24"/>
        </w:rPr>
        <w:t xml:space="preserve">, em cinco arraçoamentos diários (8:00; 10:30; 13:30; 15:00 e 17:00 horas).  </w:t>
      </w:r>
    </w:p>
    <w:p>
      <w:pPr>
        <w:pStyle w:val="Normal"/>
        <w:spacing w:lineRule="auto" w:line="240" w:before="0" w:after="0"/>
        <w:ind w:firstLine="567"/>
        <w:jc w:val="both"/>
        <w:rPr>
          <w:szCs w:val="24"/>
        </w:rPr>
      </w:pPr>
      <w:r>
        <w:rPr>
          <w:szCs w:val="24"/>
        </w:rPr>
        <w:t xml:space="preserve">Foi utilizado uma ração comercial extrusada com 32% de proteína bruta e peletes de 2 mm, e a ração peletizada foi obtida através da moagem da ração extrusada e submetida ao processo de peletização. </w:t>
      </w:r>
    </w:p>
    <w:p>
      <w:pPr>
        <w:pStyle w:val="Normal"/>
        <w:spacing w:lineRule="auto" w:line="240" w:before="0" w:after="0"/>
        <w:ind w:firstLine="567"/>
        <w:jc w:val="both"/>
        <w:rPr>
          <w:szCs w:val="24"/>
        </w:rPr>
      </w:pPr>
      <w:r>
        <w:rPr>
          <w:szCs w:val="24"/>
        </w:rPr>
        <w:t xml:space="preserve">Os parâmetros de qualidade de água tais como pH, oxigênio dissolvido </w:t>
      </w:r>
      <w:r>
        <w:rPr>
          <w:color w:val="000000" w:themeColor="text1"/>
          <w:szCs w:val="24"/>
        </w:rPr>
        <w:t>(mg L</w:t>
      </w:r>
      <w:r>
        <w:rPr>
          <w:color w:val="000000" w:themeColor="text1"/>
          <w:szCs w:val="24"/>
          <w:vertAlign w:val="superscript"/>
        </w:rPr>
        <w:t>-1</w:t>
      </w:r>
      <w:r>
        <w:rPr>
          <w:color w:val="000000" w:themeColor="text1"/>
          <w:szCs w:val="24"/>
        </w:rPr>
        <w:t>)</w:t>
      </w:r>
      <w:r>
        <w:rPr>
          <w:szCs w:val="24"/>
        </w:rPr>
        <w:t xml:space="preserve">, temperatura </w:t>
      </w:r>
      <w:r>
        <w:rPr>
          <w:color w:val="000000" w:themeColor="text1"/>
          <w:szCs w:val="24"/>
        </w:rPr>
        <w:t>(</w:t>
      </w:r>
      <w:r>
        <w:rPr>
          <w:color w:val="000000" w:themeColor="text1"/>
          <w:szCs w:val="24"/>
          <w:vertAlign w:val="superscript"/>
        </w:rPr>
        <w:t>o</w:t>
      </w:r>
      <w:r>
        <w:rPr>
          <w:color w:val="000000" w:themeColor="text1"/>
          <w:szCs w:val="24"/>
        </w:rPr>
        <w:t xml:space="preserve">C) </w:t>
      </w:r>
      <w:r>
        <w:rPr>
          <w:szCs w:val="24"/>
        </w:rPr>
        <w:t>foram monitorados diariamente através de equipamentos portáteis Hanna YSI.</w:t>
      </w:r>
    </w:p>
    <w:p>
      <w:pPr>
        <w:pStyle w:val="Normal"/>
        <w:spacing w:lineRule="auto" w:line="240" w:before="0" w:after="0"/>
        <w:ind w:firstLine="567"/>
        <w:jc w:val="both"/>
        <w:rPr>
          <w:szCs w:val="24"/>
        </w:rPr>
      </w:pPr>
      <w:r>
        <w:rPr>
          <w:b/>
          <w:szCs w:val="24"/>
        </w:rPr>
        <w:t xml:space="preserve"> </w:t>
      </w:r>
      <w:r>
        <w:rPr>
          <w:szCs w:val="24"/>
        </w:rPr>
        <w:t xml:space="preserve">Ao término do experimento os peixes permaneceram 12 horas sem alimentação para esvaziamento do trato digestivo, os peixes foram capturados dos tanques, com uso de puçá, transferidos para o laboratório em tambores com agua e oxigênio. Todos os peixes foram insensibilizado com 75 mg/L de benzocaína (GOMES et al., 2001), sendo que três peixes de cada unidade experimental foram encaminhados para coleta de sangue, após a coleta foram pesados e medidos. O restante dos animais dos tanques foram pesados, medidos, e </w:t>
      </w:r>
      <w:r>
        <w:rPr>
          <w:rFonts w:eastAsia="Arial Unicode MS"/>
          <w:szCs w:val="24"/>
        </w:rPr>
        <w:t xml:space="preserve">10 peixes de cada tanque </w:t>
      </w:r>
      <w:r>
        <w:rPr>
          <w:szCs w:val="24"/>
        </w:rPr>
        <w:t>foram eutanásiados utilizando 250 mg/L de benzocaína (GOMES et al., 2001) para análise de rendimento e composição centesimal.</w:t>
      </w:r>
    </w:p>
    <w:p>
      <w:pPr>
        <w:pStyle w:val="Normal"/>
        <w:spacing w:lineRule="auto" w:line="240" w:before="0" w:after="0"/>
        <w:ind w:firstLine="567"/>
        <w:jc w:val="both"/>
        <w:rPr>
          <w:szCs w:val="24"/>
        </w:rPr>
      </w:pPr>
      <w:r>
        <w:rPr>
          <w:szCs w:val="24"/>
        </w:rPr>
        <w:t>A coleta de sangue foi realizada por punção caudal, sendo coletado 2,0 mL de sangue de cada animal com o auxílio de uma seringa descartável, após estes animais foram medidos e pesados. Para as análises eritrocitárias foram utilizadas 0,5mL de sangue. Para a contagem do número de eritrócitos foi utilizado 2ml de liquido de Hayen e 10µl de sangue, sendo à contagem do número de eritrócitos em câmara de Neubauer. Para determinação de hemoglobina utilizou 2,5 ml de líquido de Drabkin 10µl de sangue, e posterior leitura em espectrofotômetro 540nm, metodologia preconizada por Collier (1944).</w:t>
      </w:r>
      <w:r>
        <w:rPr>
          <w:color w:val="FF0000"/>
          <w:szCs w:val="24"/>
        </w:rPr>
        <w:t xml:space="preserve"> </w:t>
      </w:r>
      <w:r>
        <w:rPr>
          <w:szCs w:val="24"/>
        </w:rPr>
        <w:t>Para a avaliação do hematócrito, adicionaram ¾ do volume do tubo capilar com o sangue coletado dos peixes, os tubos capilares vedados em sua extremidade (massa de modelar), sendo em seguida centrifugada em uma microcentrifuga a 10.000 RPM por 5 minutos, metodologia preconizada por Goldenfarb et al</w:t>
      </w:r>
      <w:r>
        <w:rPr>
          <w:i/>
          <w:szCs w:val="24"/>
        </w:rPr>
        <w:t>.</w:t>
      </w:r>
      <w:r>
        <w:rPr>
          <w:szCs w:val="24"/>
        </w:rPr>
        <w:t xml:space="preserve"> (1971). Para as análises bioquímicas, foi utilizado 1,0mL de plasma para a realização de proteínas totais, albumina, triglicerídeos, glicose e colesterol. As amostras foram centrifugas a 2.500 rpm por cinco minutos para a determinação das análises. Foram utilizados “kits” específicos para realizar as análises (Gold Analisa</w:t>
      </w:r>
      <w:r>
        <w:rPr>
          <w:szCs w:val="24"/>
          <w:vertAlign w:val="superscript"/>
        </w:rPr>
        <w:t>®</w:t>
      </w:r>
      <w:r>
        <w:rPr>
          <w:szCs w:val="24"/>
        </w:rPr>
        <w:t>) e a leitura realizada em espectrofotômetro.</w:t>
      </w:r>
    </w:p>
    <w:p>
      <w:pPr>
        <w:pStyle w:val="Normal"/>
        <w:spacing w:lineRule="auto" w:line="240" w:before="0" w:after="0"/>
        <w:ind w:firstLine="567"/>
        <w:jc w:val="both"/>
        <w:rPr>
          <w:rFonts w:eastAsia="Calibri" w:eastAsiaTheme="minorHAnsi"/>
          <w:color w:val="FF0000"/>
          <w:szCs w:val="24"/>
        </w:rPr>
      </w:pPr>
      <w:r>
        <w:rPr>
          <w:szCs w:val="24"/>
        </w:rPr>
        <w:t>Após o conhecimento dos pesos e medidas foi possível calcular o peso final, ganho de peso, conversão alimentar aparente, sobrevivência, comprimento final, taxa de crescimento especifico. Todo o procedimento experimental foi avaliado e aprovado pelo Comitê de Ética no Uso de Animais da Universidade Estadual do Oeste do Paraná.</w:t>
      </w:r>
    </w:p>
    <w:p>
      <w:pPr>
        <w:pStyle w:val="Normal"/>
        <w:spacing w:lineRule="auto" w:line="240" w:before="0" w:after="0"/>
        <w:ind w:firstLine="567"/>
        <w:jc w:val="both"/>
        <w:rPr>
          <w:rFonts w:eastAsia="Arial Unicode MS"/>
          <w:szCs w:val="24"/>
        </w:rPr>
      </w:pPr>
      <w:r>
        <w:rPr>
          <w:rFonts w:eastAsia="Arial Unicode MS"/>
          <w:szCs w:val="24"/>
        </w:rPr>
        <w:t xml:space="preserve">Os 10 peixes </w:t>
      </w:r>
      <w:r>
        <w:rPr>
          <w:szCs w:val="24"/>
        </w:rPr>
        <w:t xml:space="preserve">eutanásiados foram, armazenados em gelo e encaminhados ao Laboratório de Abate e Corte do Instituto Federal do Paraná. Cinco peixes foram eviscerados, separados e pesados o fígado e gordura visceral. Cinco peixes intactos foram </w:t>
      </w:r>
      <w:r>
        <w:rPr>
          <w:rFonts w:eastAsia="Arial Unicode MS"/>
          <w:szCs w:val="24"/>
        </w:rPr>
        <w:t xml:space="preserve">armazenados em freezer (-6ºC) para análises </w:t>
      </w:r>
      <w:r>
        <w:rPr>
          <w:szCs w:val="24"/>
        </w:rPr>
        <w:t xml:space="preserve">bromatológicas quanto a </w:t>
      </w:r>
      <w:r>
        <w:rPr>
          <w:rFonts w:eastAsia="Arial Unicode MS"/>
          <w:szCs w:val="24"/>
        </w:rPr>
        <w:t xml:space="preserve">umidade </w:t>
      </w:r>
      <w:r>
        <w:rPr>
          <w:szCs w:val="24"/>
        </w:rPr>
        <w:t>(pré secagem em 55ºC por 72 horas), matéria seca (secagem 105ºC), proteína (método Kjedhal), extrato etéreo (método Soxhret com solvente de éter de petróleo),</w:t>
      </w:r>
      <w:r>
        <w:rPr>
          <w:rFonts w:eastAsia="Arial Unicode MS"/>
          <w:szCs w:val="24"/>
        </w:rPr>
        <w:t xml:space="preserve"> seguindo a metodologia proposta pela AOAC (2005).</w:t>
      </w:r>
    </w:p>
    <w:p>
      <w:pPr>
        <w:pStyle w:val="Normal"/>
        <w:spacing w:lineRule="auto" w:line="240" w:before="0" w:after="0"/>
        <w:ind w:firstLine="567"/>
        <w:jc w:val="both"/>
        <w:rPr>
          <w:rFonts w:eastAsia="Arial Unicode MS"/>
          <w:szCs w:val="24"/>
        </w:rPr>
      </w:pPr>
      <w:r>
        <w:rPr>
          <w:szCs w:val="24"/>
        </w:rPr>
        <w:t xml:space="preserve">Os dados foram </w:t>
      </w:r>
      <w:r>
        <w:rPr>
          <w:color w:val="000000" w:themeColor="text1"/>
          <w:szCs w:val="24"/>
        </w:rPr>
        <w:t xml:space="preserve">submetidos à análise de variância a 5% de significância e, quando evidenciado efeito significativo, foi aplicada a análise de variância (ANOVA), individualmente, para cada variável-resposta a 5% de significância. Sendo checado os </w:t>
      </w:r>
      <w:r>
        <w:rPr>
          <w:szCs w:val="24"/>
        </w:rPr>
        <w:t>pressupostos de normalidade pelo Shapiro Wilk e homogeneidade Leveni. Para a operacionalização dos dados será utilizado o programa computacional Statistica 7</w:t>
      </w:r>
      <w:r>
        <w:rPr>
          <w:szCs w:val="24"/>
          <w:vertAlign w:val="superscript"/>
        </w:rPr>
        <w:t>®</w:t>
      </w:r>
      <w:r>
        <w:rPr>
          <w:szCs w:val="24"/>
        </w:rPr>
        <w:t>.</w:t>
      </w:r>
    </w:p>
    <w:p>
      <w:pPr>
        <w:pStyle w:val="Normal"/>
        <w:spacing w:lineRule="auto" w:line="240" w:before="0" w:after="0"/>
        <w:ind w:firstLine="539"/>
        <w:jc w:val="both"/>
        <w:rPr>
          <w:color w:val="000000"/>
          <w:szCs w:val="24"/>
        </w:rPr>
      </w:pPr>
      <w:r>
        <w:rPr>
          <w:color w:val="000000"/>
          <w:szCs w:val="24"/>
        </w:rPr>
      </w:r>
    </w:p>
    <w:p>
      <w:pPr>
        <w:pStyle w:val="Ttulo1"/>
        <w:spacing w:before="0" w:after="0"/>
        <w:jc w:val="both"/>
        <w:rPr>
          <w:rFonts w:ascii="Times New Roman" w:hAnsi="Times New Roman" w:cs="Times New Roman"/>
          <w:sz w:val="24"/>
          <w:szCs w:val="24"/>
        </w:rPr>
      </w:pPr>
      <w:r>
        <w:rPr>
          <w:rFonts w:cs="Times New Roman" w:ascii="Times New Roman" w:hAnsi="Times New Roman"/>
          <w:sz w:val="24"/>
          <w:szCs w:val="24"/>
        </w:rPr>
        <w:t>3- RESULTADOS E DISCUSSÃO</w:t>
      </w:r>
    </w:p>
    <w:p>
      <w:pPr>
        <w:pStyle w:val="Normal"/>
        <w:spacing w:lineRule="auto" w:line="240" w:before="0" w:after="0"/>
        <w:ind w:firstLine="539"/>
        <w:jc w:val="both"/>
        <w:rPr>
          <w:color w:val="000000"/>
          <w:szCs w:val="24"/>
        </w:rPr>
      </w:pPr>
      <w:r>
        <w:rPr>
          <w:color w:val="000000"/>
          <w:szCs w:val="24"/>
        </w:rPr>
      </w:r>
    </w:p>
    <w:p>
      <w:pPr>
        <w:pStyle w:val="Normal"/>
        <w:spacing w:lineRule="auto" w:line="240" w:before="0" w:after="0"/>
        <w:ind w:firstLine="567"/>
        <w:jc w:val="both"/>
        <w:rPr>
          <w:szCs w:val="24"/>
        </w:rPr>
      </w:pPr>
      <w:r>
        <w:rPr>
          <w:szCs w:val="24"/>
        </w:rPr>
        <w:t xml:space="preserve">Durante o período experimental, a temperatura manteve-se em 27,04±1,65ºC, o oxigênio dissolvido em 6,83±1,22 mg/L e pH em 7,11±0,51, mantendo-se em níveis considerados satisfatório ao logo de todo o experimento, para o jundiá. </w:t>
      </w:r>
    </w:p>
    <w:p>
      <w:pPr>
        <w:pStyle w:val="Normal"/>
        <w:spacing w:lineRule="auto" w:line="240" w:before="0" w:after="0"/>
        <w:ind w:firstLine="567"/>
        <w:jc w:val="both"/>
        <w:rPr>
          <w:rFonts w:eastAsia="Calibri" w:eastAsiaTheme="minorHAnsi"/>
          <w:szCs w:val="24"/>
        </w:rPr>
      </w:pPr>
      <w:r>
        <w:rPr>
          <w:szCs w:val="24"/>
        </w:rPr>
        <w:t>Não foram observadas influencias (P&gt;0,05) sobre os parâmetros de peso final, ganho de peso, sobrevivência, conversão alimentar aparente, taxa de crescimento índice hepatossomatico e gordura visceral</w:t>
      </w:r>
      <w:r>
        <w:rPr>
          <w:rFonts w:eastAsia="Calibri" w:eastAsiaTheme="minorHAnsi"/>
          <w:szCs w:val="24"/>
        </w:rPr>
        <w:t xml:space="preserve"> (Tabela 1), entre os diferentes tipos de ração peletizada e extrusada. Resultados semelhantes </w:t>
      </w:r>
      <w:r>
        <w:rPr>
          <w:szCs w:val="24"/>
        </w:rPr>
        <w:t>foram observado por Rodrigues e Fernandes, (2006), quando avaliaram o desempenho produtivo do acará bandeira (</w:t>
      </w:r>
      <w:r>
        <w:rPr>
          <w:i/>
          <w:szCs w:val="24"/>
        </w:rPr>
        <w:t>Pterophyllum scalare</w:t>
      </w:r>
      <w:r>
        <w:rPr>
          <w:szCs w:val="24"/>
        </w:rPr>
        <w:t xml:space="preserve">), alimentados com dietas processadas de três formas (farelada, peletizada e extrusada), não verificando diferença significativas para rações peletizada e extrusada. Isso é devido ao processo de </w:t>
      </w:r>
      <w:r>
        <w:rPr>
          <w:rFonts w:eastAsia="Calibri" w:eastAsiaTheme="minorHAnsi"/>
          <w:szCs w:val="24"/>
        </w:rPr>
        <w:t xml:space="preserve">calor envolvido na peletização e extrusão que pode ter disponibilizado melhor certos nutrientes como o amido e gordura, melhorando a digestão e absorção dos nutrientes pelos peixes (SIGNOR et al. 2011).  </w:t>
      </w:r>
    </w:p>
    <w:p>
      <w:pPr>
        <w:pStyle w:val="Normal"/>
        <w:spacing w:lineRule="auto" w:line="240" w:before="0" w:after="0"/>
        <w:ind w:firstLine="567"/>
        <w:jc w:val="both"/>
        <w:rPr>
          <w:rFonts w:eastAsia="Calibri" w:eastAsiaTheme="minorHAnsi"/>
          <w:szCs w:val="24"/>
        </w:rPr>
      </w:pPr>
      <w:r>
        <w:rPr>
          <w:rFonts w:eastAsia="Calibri" w:eastAsiaTheme="minorHAnsi"/>
          <w:szCs w:val="24"/>
        </w:rPr>
      </w:r>
    </w:p>
    <w:p>
      <w:pPr>
        <w:pStyle w:val="Normal"/>
        <w:spacing w:lineRule="auto" w:line="240" w:before="0" w:after="0"/>
        <w:rPr>
          <w:szCs w:val="24"/>
        </w:rPr>
      </w:pPr>
      <w:r>
        <w:rPr>
          <w:szCs w:val="24"/>
        </w:rPr>
        <w:t>Tabela 1. Desempenho produtivo do jundiá alimentado com dietas peletizadas e extrusadas em diferentes percentuais de arraçoamento.</w:t>
      </w:r>
    </w:p>
    <w:tbl>
      <w:tblPr>
        <w:tblStyle w:val="Tabelacomgrade"/>
        <w:tblW w:w="9618" w:type="dxa"/>
        <w:jc w:val="left"/>
        <w:tblInd w:w="-5" w:type="dxa"/>
        <w:tblCellMar>
          <w:top w:w="0" w:type="dxa"/>
          <w:left w:w="108" w:type="dxa"/>
          <w:bottom w:w="0" w:type="dxa"/>
          <w:right w:w="108" w:type="dxa"/>
        </w:tblCellMar>
        <w:tblLook w:firstRow="1" w:noVBand="1" w:lastRow="0" w:firstColumn="1" w:lastColumn="0" w:noHBand="0" w:val="04a0"/>
      </w:tblPr>
      <w:tblGrid>
        <w:gridCol w:w="956"/>
        <w:gridCol w:w="989"/>
        <w:gridCol w:w="886"/>
        <w:gridCol w:w="886"/>
        <w:gridCol w:w="886"/>
        <w:gridCol w:w="1167"/>
        <w:gridCol w:w="1028"/>
        <w:gridCol w:w="785"/>
        <w:gridCol w:w="1012"/>
        <w:gridCol w:w="1022"/>
      </w:tblGrid>
      <w:tr>
        <w:trPr>
          <w:trHeight w:val="278" w:hRule="atLeast"/>
        </w:trPr>
        <w:tc>
          <w:tcPr>
            <w:tcW w:w="1945" w:type="dxa"/>
            <w:gridSpan w:val="2"/>
            <w:vMerge w:val="restart"/>
            <w:tcBorders>
              <w:left w:val="nil"/>
              <w:right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7672" w:type="dxa"/>
            <w:gridSpan w:val="8"/>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Variáveis</w:t>
            </w:r>
          </w:p>
        </w:tc>
      </w:tr>
      <w:tr>
        <w:trPr>
          <w:trHeight w:val="296" w:hRule="atLeast"/>
        </w:trPr>
        <w:tc>
          <w:tcPr>
            <w:tcW w:w="1945" w:type="dxa"/>
            <w:gridSpan w:val="2"/>
            <w:vMerge w:val="continue"/>
            <w:tcBorders>
              <w:left w:val="nil"/>
              <w:right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886"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PF</w:t>
            </w:r>
          </w:p>
        </w:tc>
        <w:tc>
          <w:tcPr>
            <w:tcW w:w="886"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GP</w:t>
            </w:r>
          </w:p>
        </w:tc>
        <w:tc>
          <w:tcPr>
            <w:tcW w:w="886"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SO</w:t>
            </w:r>
          </w:p>
        </w:tc>
        <w:tc>
          <w:tcPr>
            <w:tcW w:w="1167"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CR</w:t>
            </w:r>
          </w:p>
        </w:tc>
        <w:tc>
          <w:tcPr>
            <w:tcW w:w="1028"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CAA</w:t>
            </w:r>
          </w:p>
        </w:tc>
        <w:tc>
          <w:tcPr>
            <w:tcW w:w="785"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TCE</w:t>
            </w:r>
          </w:p>
        </w:tc>
        <w:tc>
          <w:tcPr>
            <w:tcW w:w="1012"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IHS</w:t>
            </w:r>
          </w:p>
        </w:tc>
        <w:tc>
          <w:tcPr>
            <w:tcW w:w="1022"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GV</w:t>
            </w:r>
          </w:p>
        </w:tc>
      </w:tr>
      <w:tr>
        <w:trPr>
          <w:trHeight w:val="278" w:hRule="atLeast"/>
        </w:trPr>
        <w:tc>
          <w:tcPr>
            <w:tcW w:w="956" w:type="dxa"/>
            <w:tcBorders>
              <w:left w:val="nil"/>
              <w:bottom w:val="nil"/>
              <w:right w:val="nil"/>
              <w:insideH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Ração</w:t>
            </w:r>
          </w:p>
        </w:tc>
        <w:tc>
          <w:tcPr>
            <w:tcW w:w="989" w:type="dxa"/>
            <w:tcBorders>
              <w:left w:val="nil"/>
              <w:bottom w:val="nil"/>
              <w:right w:val="nil"/>
              <w:insideH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Pel.</w:t>
            </w:r>
          </w:p>
        </w:tc>
        <w:tc>
          <w:tcPr>
            <w:tcW w:w="886"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87,72</w:t>
            </w:r>
          </w:p>
        </w:tc>
        <w:tc>
          <w:tcPr>
            <w:tcW w:w="886"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37,73</w:t>
            </w:r>
          </w:p>
        </w:tc>
        <w:tc>
          <w:tcPr>
            <w:tcW w:w="886"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97,54</w:t>
            </w:r>
          </w:p>
        </w:tc>
        <w:tc>
          <w:tcPr>
            <w:tcW w:w="1167"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332,71</w:t>
            </w:r>
          </w:p>
        </w:tc>
        <w:tc>
          <w:tcPr>
            <w:tcW w:w="1028"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8,61</w:t>
            </w:r>
          </w:p>
        </w:tc>
        <w:tc>
          <w:tcPr>
            <w:tcW w:w="785"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0,67</w:t>
            </w:r>
          </w:p>
        </w:tc>
        <w:tc>
          <w:tcPr>
            <w:tcW w:w="1012"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1,57</w:t>
            </w:r>
          </w:p>
        </w:tc>
        <w:tc>
          <w:tcPr>
            <w:tcW w:w="1022"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1,94</w:t>
            </w:r>
          </w:p>
        </w:tc>
      </w:tr>
      <w:tr>
        <w:trPr>
          <w:trHeight w:val="134" w:hRule="atLeast"/>
        </w:trPr>
        <w:tc>
          <w:tcPr>
            <w:tcW w:w="956" w:type="dxa"/>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989" w:type="dxa"/>
            <w:tcBorders>
              <w:top w:val="nil"/>
              <w:left w:val="nil"/>
              <w:right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Ext.</w:t>
            </w:r>
          </w:p>
        </w:tc>
        <w:tc>
          <w:tcPr>
            <w:tcW w:w="886"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89,65</w:t>
            </w:r>
          </w:p>
        </w:tc>
        <w:tc>
          <w:tcPr>
            <w:tcW w:w="886"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42,83</w:t>
            </w:r>
          </w:p>
        </w:tc>
        <w:tc>
          <w:tcPr>
            <w:tcW w:w="886"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96,21</w:t>
            </w:r>
          </w:p>
        </w:tc>
        <w:tc>
          <w:tcPr>
            <w:tcW w:w="1167"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360,62</w:t>
            </w:r>
          </w:p>
        </w:tc>
        <w:tc>
          <w:tcPr>
            <w:tcW w:w="1028"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8,78</w:t>
            </w:r>
          </w:p>
        </w:tc>
        <w:tc>
          <w:tcPr>
            <w:tcW w:w="785"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0,78</w:t>
            </w:r>
          </w:p>
        </w:tc>
        <w:tc>
          <w:tcPr>
            <w:tcW w:w="1012"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1,61</w:t>
            </w:r>
          </w:p>
        </w:tc>
        <w:tc>
          <w:tcPr>
            <w:tcW w:w="1022"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1,73</w:t>
            </w:r>
          </w:p>
        </w:tc>
      </w:tr>
      <w:tr>
        <w:trPr>
          <w:trHeight w:val="278" w:hRule="atLeast"/>
        </w:trPr>
        <w:tc>
          <w:tcPr>
            <w:tcW w:w="956"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Arraç. (%)</w:t>
            </w:r>
          </w:p>
        </w:tc>
        <w:tc>
          <w:tcPr>
            <w:tcW w:w="989" w:type="dxa"/>
            <w:tcBorders>
              <w:left w:val="nil"/>
              <w:bottom w:val="nil"/>
              <w:right w:val="nil"/>
              <w:insideH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2</w:t>
            </w:r>
          </w:p>
        </w:tc>
        <w:tc>
          <w:tcPr>
            <w:tcW w:w="886"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87,32</w:t>
            </w:r>
          </w:p>
        </w:tc>
        <w:tc>
          <w:tcPr>
            <w:tcW w:w="886"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37,65</w:t>
            </w:r>
          </w:p>
        </w:tc>
        <w:tc>
          <w:tcPr>
            <w:tcW w:w="886"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96,83</w:t>
            </w:r>
          </w:p>
        </w:tc>
        <w:tc>
          <w:tcPr>
            <w:tcW w:w="1167"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101,00d</w:t>
            </w:r>
          </w:p>
        </w:tc>
        <w:tc>
          <w:tcPr>
            <w:tcW w:w="1028"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2,81d</w:t>
            </w:r>
          </w:p>
        </w:tc>
        <w:tc>
          <w:tcPr>
            <w:tcW w:w="785"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0,68</w:t>
            </w:r>
          </w:p>
        </w:tc>
        <w:tc>
          <w:tcPr>
            <w:tcW w:w="1012"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1,45b</w:t>
            </w:r>
          </w:p>
        </w:tc>
        <w:tc>
          <w:tcPr>
            <w:tcW w:w="1022"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2,24a</w:t>
            </w:r>
          </w:p>
        </w:tc>
      </w:tr>
      <w:tr>
        <w:trPr>
          <w:trHeight w:val="278" w:hRule="atLeast"/>
        </w:trPr>
        <w:tc>
          <w:tcPr>
            <w:tcW w:w="956" w:type="dxa"/>
            <w:vMerge w:val="continue"/>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98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5</w:t>
            </w:r>
          </w:p>
        </w:tc>
        <w:tc>
          <w:tcPr>
            <w:tcW w:w="88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87,33</w:t>
            </w:r>
          </w:p>
        </w:tc>
        <w:tc>
          <w:tcPr>
            <w:tcW w:w="88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38,75</w:t>
            </w:r>
          </w:p>
        </w:tc>
        <w:tc>
          <w:tcPr>
            <w:tcW w:w="88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96,71</w:t>
            </w:r>
          </w:p>
        </w:tc>
        <w:tc>
          <w:tcPr>
            <w:tcW w:w="1167"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258,65c</w:t>
            </w:r>
          </w:p>
        </w:tc>
        <w:tc>
          <w:tcPr>
            <w:tcW w:w="102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6,90c</w:t>
            </w:r>
          </w:p>
        </w:tc>
        <w:tc>
          <w:tcPr>
            <w:tcW w:w="785"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0,71</w:t>
            </w:r>
          </w:p>
        </w:tc>
        <w:tc>
          <w:tcPr>
            <w:tcW w:w="101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1,77a</w:t>
            </w:r>
          </w:p>
        </w:tc>
        <w:tc>
          <w:tcPr>
            <w:tcW w:w="102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1,15b</w:t>
            </w:r>
          </w:p>
        </w:tc>
      </w:tr>
      <w:tr>
        <w:trPr>
          <w:trHeight w:val="80" w:hRule="atLeast"/>
        </w:trPr>
        <w:tc>
          <w:tcPr>
            <w:tcW w:w="956" w:type="dxa"/>
            <w:vMerge w:val="continue"/>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989"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8</w:t>
            </w:r>
          </w:p>
        </w:tc>
        <w:tc>
          <w:tcPr>
            <w:tcW w:w="88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90,21</w:t>
            </w:r>
          </w:p>
        </w:tc>
        <w:tc>
          <w:tcPr>
            <w:tcW w:w="88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42,03</w:t>
            </w:r>
          </w:p>
        </w:tc>
        <w:tc>
          <w:tcPr>
            <w:tcW w:w="88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96,43</w:t>
            </w:r>
          </w:p>
        </w:tc>
        <w:tc>
          <w:tcPr>
            <w:tcW w:w="1167"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423,65b</w:t>
            </w:r>
          </w:p>
        </w:tc>
        <w:tc>
          <w:tcPr>
            <w:tcW w:w="102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10,36b</w:t>
            </w:r>
          </w:p>
        </w:tc>
        <w:tc>
          <w:tcPr>
            <w:tcW w:w="785"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0,75</w:t>
            </w:r>
          </w:p>
        </w:tc>
        <w:tc>
          <w:tcPr>
            <w:tcW w:w="101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1,54ab</w:t>
            </w:r>
          </w:p>
        </w:tc>
        <w:tc>
          <w:tcPr>
            <w:tcW w:w="102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2,07a</w:t>
            </w:r>
          </w:p>
        </w:tc>
      </w:tr>
      <w:tr>
        <w:trPr>
          <w:trHeight w:val="278" w:hRule="atLeast"/>
        </w:trPr>
        <w:tc>
          <w:tcPr>
            <w:tcW w:w="956" w:type="dxa"/>
            <w:vMerge w:val="continue"/>
            <w:tcBorders>
              <w:top w:val="nil"/>
              <w:left w:val="nil"/>
              <w:right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989" w:type="dxa"/>
            <w:tcBorders>
              <w:top w:val="nil"/>
              <w:left w:val="nil"/>
              <w:right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11</w:t>
            </w:r>
          </w:p>
        </w:tc>
        <w:tc>
          <w:tcPr>
            <w:tcW w:w="886"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89,83</w:t>
            </w:r>
          </w:p>
        </w:tc>
        <w:tc>
          <w:tcPr>
            <w:tcW w:w="886"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42,67</w:t>
            </w:r>
          </w:p>
        </w:tc>
        <w:tc>
          <w:tcPr>
            <w:tcW w:w="886"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97,43</w:t>
            </w:r>
          </w:p>
        </w:tc>
        <w:tc>
          <w:tcPr>
            <w:tcW w:w="1167"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570,26a</w:t>
            </w:r>
          </w:p>
        </w:tc>
        <w:tc>
          <w:tcPr>
            <w:tcW w:w="1028"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13,89a</w:t>
            </w:r>
          </w:p>
        </w:tc>
        <w:tc>
          <w:tcPr>
            <w:tcW w:w="785"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0,78</w:t>
            </w:r>
          </w:p>
        </w:tc>
        <w:tc>
          <w:tcPr>
            <w:tcW w:w="1012"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1,58ab</w:t>
            </w:r>
          </w:p>
        </w:tc>
        <w:tc>
          <w:tcPr>
            <w:tcW w:w="1022"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1,91ab</w:t>
            </w:r>
          </w:p>
        </w:tc>
      </w:tr>
      <w:tr>
        <w:trPr>
          <w:trHeight w:val="278" w:hRule="atLeast"/>
        </w:trPr>
        <w:tc>
          <w:tcPr>
            <w:tcW w:w="9617" w:type="dxa"/>
            <w:gridSpan w:val="10"/>
            <w:tcBorders>
              <w:left w:val="nil"/>
              <w:right w:val="nil"/>
              <w:insideV w:val="nil"/>
            </w:tcBorders>
            <w:shd w:fill="auto" w:val="clear"/>
          </w:tcPr>
          <w:p>
            <w:pPr>
              <w:pStyle w:val="Normal"/>
              <w:spacing w:lineRule="auto" w:line="240" w:before="0" w:after="0"/>
              <w:rPr>
                <w:rFonts w:ascii="Times New Roman" w:hAnsi="Times New Roman" w:cs="Times New Roman"/>
                <w:i/>
                <w:i/>
                <w:szCs w:val="24"/>
              </w:rPr>
            </w:pPr>
            <w:r>
              <w:rPr>
                <w:rFonts w:eastAsia="Calibri" w:cs="Times New Roman" w:eastAsiaTheme="minorHAnsi"/>
                <w:i/>
                <w:szCs w:val="24"/>
                <w:lang w:eastAsia="en-US"/>
              </w:rPr>
              <w:t>Significância</w:t>
            </w:r>
          </w:p>
        </w:tc>
      </w:tr>
      <w:tr>
        <w:trPr>
          <w:trHeight w:val="278" w:hRule="atLeast"/>
        </w:trPr>
        <w:tc>
          <w:tcPr>
            <w:tcW w:w="1945" w:type="dxa"/>
            <w:gridSpan w:val="2"/>
            <w:tcBorders>
              <w:left w:val="nil"/>
              <w:bottom w:val="nil"/>
              <w:right w:val="nil"/>
              <w:insideH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Ração</w:t>
            </w:r>
          </w:p>
        </w:tc>
        <w:tc>
          <w:tcPr>
            <w:tcW w:w="886"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886"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886"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167"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028"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785"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012"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022"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r>
      <w:tr>
        <w:trPr>
          <w:trHeight w:val="296" w:hRule="atLeast"/>
        </w:trPr>
        <w:tc>
          <w:tcPr>
            <w:tcW w:w="1945"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Arraç. (%)</w:t>
            </w:r>
          </w:p>
        </w:tc>
        <w:tc>
          <w:tcPr>
            <w:tcW w:w="88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88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88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167"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w:t>
            </w:r>
          </w:p>
        </w:tc>
        <w:tc>
          <w:tcPr>
            <w:tcW w:w="102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w:t>
            </w:r>
          </w:p>
        </w:tc>
        <w:tc>
          <w:tcPr>
            <w:tcW w:w="785"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01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w:t>
            </w:r>
          </w:p>
        </w:tc>
        <w:tc>
          <w:tcPr>
            <w:tcW w:w="102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w:t>
            </w:r>
          </w:p>
        </w:tc>
      </w:tr>
      <w:tr>
        <w:trPr>
          <w:trHeight w:val="278" w:hRule="atLeast"/>
        </w:trPr>
        <w:tc>
          <w:tcPr>
            <w:tcW w:w="1945"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Ração x Arraç.</w:t>
            </w:r>
          </w:p>
        </w:tc>
        <w:tc>
          <w:tcPr>
            <w:tcW w:w="886"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886"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886"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167"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028"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785"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012"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022"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r>
    </w:tbl>
    <w:p>
      <w:pPr>
        <w:pStyle w:val="Normal"/>
        <w:spacing w:lineRule="auto" w:line="240" w:before="0" w:after="0"/>
        <w:jc w:val="both"/>
        <w:rPr>
          <w:sz w:val="20"/>
          <w:szCs w:val="24"/>
        </w:rPr>
      </w:pPr>
      <w:r>
        <w:rPr>
          <w:sz w:val="20"/>
          <w:szCs w:val="24"/>
        </w:rPr>
        <w:t>Médias seguidas por letras distintas na coluna diferem (P&lt;0,05) pelo teste de Tukey. ns = não significativo; *P&lt;0,05; ***P&lt;0,001.</w:t>
      </w:r>
    </w:p>
    <w:p>
      <w:pPr>
        <w:pStyle w:val="Normal"/>
        <w:spacing w:lineRule="auto" w:line="240" w:before="0" w:after="0"/>
        <w:jc w:val="both"/>
        <w:rPr>
          <w:sz w:val="20"/>
          <w:szCs w:val="24"/>
        </w:rPr>
      </w:pPr>
      <w:r>
        <w:rPr>
          <w:sz w:val="20"/>
          <w:szCs w:val="24"/>
        </w:rPr>
        <w:t>Pel. = peletizada; Ext. = extrusada; Arraç. (%) = Arraçoamento (%); PF (g) = peso final; GP (g) = ganho em peso; SO (%) = sobrevivência; CR (g peixe</w:t>
      </w:r>
      <w:r>
        <w:rPr>
          <w:sz w:val="20"/>
          <w:szCs w:val="24"/>
          <w:vertAlign w:val="superscript"/>
        </w:rPr>
        <w:t>-1</w:t>
      </w:r>
      <w:r>
        <w:rPr>
          <w:sz w:val="20"/>
          <w:szCs w:val="24"/>
        </w:rPr>
        <w:t>) = consumo de ração; CAA = conversão alimentar aparente; TCE (% dia</w:t>
      </w:r>
      <w:r>
        <w:rPr>
          <w:sz w:val="20"/>
          <w:szCs w:val="24"/>
          <w:vertAlign w:val="superscript"/>
        </w:rPr>
        <w:t>-1</w:t>
      </w:r>
      <w:r>
        <w:rPr>
          <w:sz w:val="20"/>
          <w:szCs w:val="24"/>
        </w:rPr>
        <w:t>) = taxa de crescimento específico; IHS (%) = índice hepatossomático; GV (%) = gordura visceral.</w:t>
      </w:r>
    </w:p>
    <w:p>
      <w:pPr>
        <w:pStyle w:val="Normal"/>
        <w:spacing w:lineRule="auto" w:line="240" w:before="0" w:after="0"/>
        <w:jc w:val="both"/>
        <w:rPr>
          <w:rFonts w:eastAsia="Calibri" w:eastAsiaTheme="minorHAnsi"/>
          <w:szCs w:val="24"/>
        </w:rPr>
      </w:pPr>
      <w:r>
        <w:rPr>
          <w:rFonts w:eastAsia="Calibri" w:eastAsiaTheme="minorHAnsi"/>
          <w:szCs w:val="24"/>
        </w:rPr>
      </w:r>
    </w:p>
    <w:p>
      <w:pPr>
        <w:pStyle w:val="Normal"/>
        <w:spacing w:lineRule="auto" w:line="240" w:before="0" w:after="0"/>
        <w:ind w:firstLine="567"/>
        <w:jc w:val="both"/>
        <w:rPr>
          <w:color w:val="000000"/>
          <w:szCs w:val="24"/>
          <w:highlight w:val="white"/>
        </w:rPr>
      </w:pPr>
      <w:r>
        <w:rPr>
          <w:szCs w:val="24"/>
        </w:rPr>
        <w:t xml:space="preserve">Com relação ao percentual de arraçoamento, não observou-se influencia (P&gt;0,05) sobre os parâmetros de peso final, ganho de peso, sobrevivência e taxa de crescimento </w:t>
      </w:r>
      <w:r>
        <w:rPr>
          <w:rFonts w:eastAsia="Calibri" w:eastAsiaTheme="minorHAnsi"/>
          <w:szCs w:val="24"/>
        </w:rPr>
        <w:t xml:space="preserve">(Tabela 1), para as rações avaliadas (peletizada e extrusada). Entretanto, o percentual de ração adotado influenciou (P&gt;0,05) sobre o </w:t>
      </w:r>
      <w:r>
        <w:rPr>
          <w:szCs w:val="24"/>
        </w:rPr>
        <w:t xml:space="preserve">índice hepatossomatico e gordura visceral (Tabela 1). O índice hepatossomático representa o percentual de massa do fígado em relação ao peso corporal e pode ser intendido como uma forma de quantificar o estoque de energia (glicogênio) (CYRINO et al., 2000; NAVARRO et al., 2006). As principais reservas energéticas nos peixes são estocadas no fígado, músculos e, principalmente, próximos as vísceras (glicogênio e gordura) (JOBLING, 2001). </w:t>
      </w:r>
      <w:r>
        <w:rPr>
          <w:color w:val="000000"/>
          <w:szCs w:val="24"/>
          <w:shd w:fill="FFFFFF" w:val="clear"/>
        </w:rPr>
        <w:t>Por meio deste índice é possível obter informações do estado de higidez, que é influenciado pelas variações da quantidade de gordura e do glicogênio estocados no fígado (DIETERICH et al. 2013).</w:t>
      </w:r>
    </w:p>
    <w:p>
      <w:pPr>
        <w:pStyle w:val="Normal"/>
        <w:spacing w:lineRule="auto" w:line="240" w:before="0" w:after="0"/>
        <w:ind w:firstLine="539"/>
        <w:jc w:val="both"/>
        <w:rPr>
          <w:color w:val="000000"/>
          <w:szCs w:val="24"/>
        </w:rPr>
      </w:pPr>
      <w:r>
        <w:rPr>
          <w:rFonts w:eastAsia="Calibri" w:eastAsiaTheme="minorHAnsi"/>
          <w:szCs w:val="24"/>
        </w:rPr>
        <w:t xml:space="preserve">Contudo, observou-se influencia efeito linear diretamente proporcional para o consumo de ração (Figura 1A) e a </w:t>
      </w:r>
      <w:r>
        <w:rPr>
          <w:szCs w:val="24"/>
        </w:rPr>
        <w:t>conversão alimentar aparente (Figura 1B). Q</w:t>
      </w:r>
      <w:r>
        <w:rPr>
          <w:rFonts w:eastAsia="Times New Roman"/>
          <w:color w:val="000000"/>
          <w:szCs w:val="24"/>
        </w:rPr>
        <w:t>uanto maior foi a taxa de arroçoamento maior será o consumo de ração, que influencia diretamente na conversão alimentar aparente, em função das possíveis sobras de ração no tanque</w:t>
      </w:r>
      <w:r>
        <w:rPr>
          <w:szCs w:val="24"/>
        </w:rPr>
        <w:t xml:space="preserve">. </w:t>
      </w:r>
      <w:r>
        <w:rPr>
          <w:rFonts w:eastAsia="Calibri" w:eastAsiaTheme="minorHAnsi"/>
          <w:szCs w:val="24"/>
        </w:rPr>
        <w:t>Segundo, Meurer et al. (2005)</w:t>
      </w:r>
      <w:r>
        <w:rPr>
          <w:rFonts w:eastAsia="TimesNewRomanPSMT"/>
          <w:szCs w:val="24"/>
        </w:rPr>
        <w:t xml:space="preserve"> o n</w:t>
      </w:r>
      <w:r>
        <w:rPr>
          <w:rFonts w:eastAsia="Calibri" w:eastAsiaTheme="minorHAnsi"/>
          <w:szCs w:val="24"/>
        </w:rPr>
        <w:t xml:space="preserve">ível de arraçoamento influencia diretamente na </w:t>
      </w:r>
      <w:r>
        <w:rPr>
          <w:rFonts w:eastAsia="TimesNewRomanPSMT"/>
          <w:szCs w:val="24"/>
        </w:rPr>
        <w:t xml:space="preserve">conversão alimentar de alevinos de lambari apresenta um aumento linear (P&lt;0,01) em relação ao acréscimo do nível de arraçoamento, o que demonstra a piora do aproveitamento da ração conforme aumenta o nível de arraçoamento. </w:t>
      </w:r>
      <w:r>
        <w:rPr>
          <w:rFonts w:eastAsia="Times New Roman"/>
          <w:color w:val="000000"/>
          <w:szCs w:val="24"/>
        </w:rPr>
        <w:t xml:space="preserve"> Resultados semelhantes foram obtidos por Vasquez, (2008) para </w:t>
      </w:r>
      <w:r>
        <w:rPr>
          <w:rFonts w:eastAsia="Calibri" w:eastAsiaTheme="minorHAnsi"/>
          <w:szCs w:val="24"/>
        </w:rPr>
        <w:t>juvenis de acará-bandeira submetidos a três níveis de alimentação (3, 6 e 9% do peso vivo por dia) os quais verificaram que a melhor conversão foi para o nível de 3% de ração ao dia</w:t>
      </w:r>
      <w:r>
        <w:rPr>
          <w:color w:val="000000"/>
          <w:szCs w:val="24"/>
        </w:rPr>
        <w:t>.</w:t>
      </w:r>
    </w:p>
    <w:p>
      <w:pPr>
        <w:pStyle w:val="Normal"/>
        <w:spacing w:lineRule="auto" w:line="240" w:before="0" w:after="0"/>
        <w:ind w:firstLine="567"/>
        <w:jc w:val="both"/>
        <w:rPr>
          <w:rFonts w:eastAsia="Calibri" w:eastAsiaTheme="minorHAnsi"/>
          <w:szCs w:val="24"/>
        </w:rPr>
      </w:pPr>
      <w:r>
        <w:rPr>
          <w:rFonts w:eastAsia="Calibri" w:eastAsiaTheme="minorHAnsi"/>
          <w:szCs w:val="24"/>
        </w:rPr>
      </w:r>
    </w:p>
    <w:p>
      <w:pPr>
        <w:pStyle w:val="Normal"/>
        <w:spacing w:lineRule="auto" w:line="240" w:before="0" w:after="0"/>
        <w:rPr>
          <w:szCs w:val="24"/>
        </w:rPr>
      </w:pPr>
      <w:r>
        <mc:AlternateContent>
          <mc:Choice Requires="wps">
            <w:drawing>
              <wp:anchor behindDoc="0" distT="0" distB="0" distL="114300" distR="114300" simplePos="0" locked="0" layoutInCell="1" allowOverlap="1" relativeHeight="10" wp14:anchorId="2AFEA430">
                <wp:simplePos x="0" y="0"/>
                <wp:positionH relativeFrom="margin">
                  <wp:posOffset>561975</wp:posOffset>
                </wp:positionH>
                <wp:positionV relativeFrom="paragraph">
                  <wp:posOffset>105410</wp:posOffset>
                </wp:positionV>
                <wp:extent cx="219710" cy="229235"/>
                <wp:effectExtent l="0" t="0" r="0" b="0"/>
                <wp:wrapNone/>
                <wp:docPr id="1" name="CaixaDeTexto 4"/>
                <a:graphic xmlns:a="http://schemas.openxmlformats.org/drawingml/2006/main">
                  <a:graphicData uri="http://schemas.microsoft.com/office/word/2010/wordprocessingShape">
                    <wps:wsp>
                      <wps:cNvSpPr/>
                      <wps:spPr>
                        <a:xfrm>
                          <a:off x="0" y="0"/>
                          <a:ext cx="219240" cy="228600"/>
                        </a:xfrm>
                        <a:prstGeom prst="rect">
                          <a:avLst/>
                        </a:prstGeom>
                        <a:noFill/>
                        <a:ln>
                          <a:noFill/>
                        </a:ln>
                      </wps:spPr>
                      <wps:style>
                        <a:lnRef idx="0"/>
                        <a:fillRef idx="0"/>
                        <a:effectRef idx="0"/>
                        <a:fontRef idx="minor"/>
                      </wps:style>
                      <wps:txbx>
                        <w:txbxContent>
                          <w:p>
                            <w:pPr>
                              <w:pStyle w:val="NormalWeb"/>
                              <w:spacing w:beforeAutospacing="0" w:before="0" w:afterAutospacing="0" w:after="0"/>
                              <w:rPr/>
                            </w:pPr>
                            <w:r>
                              <w:rPr>
                                <w:rFonts w:cs="" w:ascii="Calibri" w:hAnsi="Calibri" w:asciiTheme="minorHAnsi" w:cstheme="minorBidi"/>
                                <w:color w:val="000000" w:themeColor="text1"/>
                                <w:sz w:val="21"/>
                                <w:szCs w:val="21"/>
                              </w:rPr>
                              <w:t>A</w:t>
                            </w:r>
                          </w:p>
                        </w:txbxContent>
                      </wps:txbx>
                      <wps:bodyPr>
                        <a:noAutofit/>
                      </wps:bodyPr>
                    </wps:wsp>
                  </a:graphicData>
                </a:graphic>
              </wp:anchor>
            </w:drawing>
          </mc:Choice>
          <mc:Fallback>
            <w:pict>
              <v:rect id="shape_0" ID="CaixaDeTexto 4" stroked="f" style="position:absolute;margin-left:44.25pt;margin-top:8.3pt;width:17.2pt;height:17.95pt;mso-position-horizontal-relative:margin" wp14:anchorId="2AFEA430">
                <w10:wrap type="square"/>
                <v:fill o:detectmouseclick="t" on="false"/>
                <v:stroke color="#3465a4" joinstyle="round" endcap="flat"/>
                <v:textbox>
                  <w:txbxContent>
                    <w:p>
                      <w:pPr>
                        <w:pStyle w:val="NormalWeb"/>
                        <w:spacing w:beforeAutospacing="0" w:before="0" w:afterAutospacing="0" w:after="0"/>
                        <w:rPr/>
                      </w:pPr>
                      <w:r>
                        <w:rPr>
                          <w:rFonts w:cs="" w:ascii="Calibri" w:hAnsi="Calibri" w:asciiTheme="minorHAnsi" w:cstheme="minorBidi"/>
                          <w:color w:val="000000" w:themeColor="text1"/>
                          <w:sz w:val="21"/>
                          <w:szCs w:val="21"/>
                        </w:rPr>
                        <w:t>A</w:t>
                      </w:r>
                    </w:p>
                  </w:txbxContent>
                </v:textbox>
              </v:rect>
            </w:pict>
          </mc:Fallback>
        </mc:AlternateContent>
        <mc:AlternateContent>
          <mc:Choice Requires="wps">
            <w:drawing>
              <wp:anchor behindDoc="0" distT="0" distB="0" distL="114300" distR="114300" simplePos="0" locked="0" layoutInCell="1" allowOverlap="1" relativeHeight="11" wp14:anchorId="1E76D188">
                <wp:simplePos x="0" y="0"/>
                <wp:positionH relativeFrom="margin">
                  <wp:posOffset>3581400</wp:posOffset>
                </wp:positionH>
                <wp:positionV relativeFrom="paragraph">
                  <wp:posOffset>29210</wp:posOffset>
                </wp:positionV>
                <wp:extent cx="219710" cy="229235"/>
                <wp:effectExtent l="0" t="0" r="0" b="0"/>
                <wp:wrapNone/>
                <wp:docPr id="3" name="CaixaDeTexto 4"/>
                <a:graphic xmlns:a="http://schemas.openxmlformats.org/drawingml/2006/main">
                  <a:graphicData uri="http://schemas.microsoft.com/office/word/2010/wordprocessingShape">
                    <wps:wsp>
                      <wps:cNvSpPr/>
                      <wps:spPr>
                        <a:xfrm>
                          <a:off x="0" y="0"/>
                          <a:ext cx="219240" cy="228600"/>
                        </a:xfrm>
                        <a:prstGeom prst="rect">
                          <a:avLst/>
                        </a:prstGeom>
                        <a:noFill/>
                        <a:ln>
                          <a:noFill/>
                        </a:ln>
                      </wps:spPr>
                      <wps:style>
                        <a:lnRef idx="0"/>
                        <a:fillRef idx="0"/>
                        <a:effectRef idx="0"/>
                        <a:fontRef idx="minor"/>
                      </wps:style>
                      <wps:txbx>
                        <w:txbxContent>
                          <w:p>
                            <w:pPr>
                              <w:pStyle w:val="Cabealho"/>
                              <w:rPr/>
                            </w:pPr>
                            <w:r>
                              <w:rPr>
                                <w:rFonts w:cs="" w:ascii="Calibri" w:hAnsi="Calibri" w:asciiTheme="minorHAnsi" w:cstheme="minorBidi"/>
                                <w:color w:val="000000" w:themeColor="text1"/>
                                <w:sz w:val="21"/>
                                <w:szCs w:val="21"/>
                              </w:rPr>
                              <w:t>B</w:t>
                            </w:r>
                          </w:p>
                        </w:txbxContent>
                      </wps:txbx>
                      <wps:bodyPr>
                        <a:noAutofit/>
                      </wps:bodyPr>
                    </wps:wsp>
                  </a:graphicData>
                </a:graphic>
              </wp:anchor>
            </w:drawing>
          </mc:Choice>
          <mc:Fallback>
            <w:pict>
              <v:rect id="shape_0" ID="CaixaDeTexto 4" stroked="f" style="position:absolute;margin-left:282pt;margin-top:2.3pt;width:17.2pt;height:17.95pt;mso-position-horizontal-relative:margin" wp14:anchorId="1E76D188">
                <w10:wrap type="square"/>
                <v:fill o:detectmouseclick="t" on="false"/>
                <v:stroke color="#3465a4" joinstyle="round" endcap="flat"/>
                <v:textbox>
                  <w:txbxContent>
                    <w:p>
                      <w:pPr>
                        <w:pStyle w:val="Cabealho"/>
                        <w:rPr/>
                      </w:pPr>
                      <w:r>
                        <w:rPr>
                          <w:rFonts w:cs="" w:ascii="Calibri" w:hAnsi="Calibri" w:asciiTheme="minorHAnsi" w:cstheme="minorBidi"/>
                          <w:color w:val="000000" w:themeColor="text1"/>
                          <w:sz w:val="21"/>
                          <w:szCs w:val="21"/>
                        </w:rPr>
                        <w:t>B</w:t>
                      </w:r>
                    </w:p>
                  </w:txbxContent>
                </v:textbox>
              </v:rect>
            </w:pict>
          </mc:Fallback>
        </mc:AlternateContent>
      </w:r>
      <w:r>
        <w:rPr/>
        <w:drawing>
          <wp:inline distT="0" distB="0" distL="0" distR="0">
            <wp:extent cx="2999740" cy="1800225"/>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drawing>
          <wp:inline distT="0" distB="0" distL="0" distR="0">
            <wp:extent cx="3060065" cy="1835785"/>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spacing w:lineRule="auto" w:line="240" w:before="0" w:after="0"/>
        <w:jc w:val="both"/>
        <w:rPr>
          <w:sz w:val="20"/>
          <w:szCs w:val="24"/>
        </w:rPr>
      </w:pPr>
      <w:r>
        <w:rPr>
          <w:sz w:val="20"/>
          <w:szCs w:val="24"/>
        </w:rPr>
        <w:t xml:space="preserve">Figura 1. A) consumo de ração e B) conversão alimentar de jundia alimentados com diferentes porcentagens de arraçoamento </w:t>
      </w:r>
    </w:p>
    <w:p>
      <w:pPr>
        <w:pStyle w:val="Normal"/>
        <w:spacing w:lineRule="auto" w:line="240" w:before="0" w:after="0"/>
        <w:ind w:firstLine="567"/>
        <w:jc w:val="both"/>
        <w:rPr>
          <w:szCs w:val="24"/>
        </w:rPr>
      </w:pPr>
      <w:r>
        <w:rPr>
          <w:szCs w:val="24"/>
        </w:rPr>
      </w:r>
    </w:p>
    <w:p>
      <w:pPr>
        <w:pStyle w:val="Normal"/>
        <w:spacing w:lineRule="auto" w:line="240" w:before="0" w:after="0"/>
        <w:ind w:firstLine="567"/>
        <w:jc w:val="both"/>
        <w:rPr>
          <w:szCs w:val="24"/>
        </w:rPr>
      </w:pPr>
      <w:r>
        <w:rPr>
          <w:szCs w:val="24"/>
        </w:rPr>
        <w:t xml:space="preserve"> </w:t>
      </w:r>
    </w:p>
    <w:p>
      <w:pPr>
        <w:pStyle w:val="Normal"/>
        <w:spacing w:lineRule="auto" w:line="240" w:before="0" w:after="0"/>
        <w:ind w:firstLine="567"/>
        <w:jc w:val="both"/>
        <w:rPr>
          <w:szCs w:val="24"/>
        </w:rPr>
      </w:pPr>
      <w:r>
        <w:rPr>
          <w:szCs w:val="24"/>
        </w:rPr>
        <w:t xml:space="preserve">Os percentuais de arraçoamento adotados e as </w:t>
      </w:r>
      <w:r>
        <w:rPr>
          <w:bCs/>
          <w:szCs w:val="24"/>
        </w:rPr>
        <w:t xml:space="preserve">rações de superfície (extrusada) e fundo (peletizada) </w:t>
      </w:r>
      <w:r>
        <w:rPr>
          <w:szCs w:val="24"/>
        </w:rPr>
        <w:t xml:space="preserve">não apresentaram diferença significativa (P&lt;0,05) sobre a composição centesimal da carcaça dos peixes (Tabela 3). Resultados semelhantes aos destacados por Alexandre (2010) quando avaliaram diferentes taxas de arraçoamento para os surubins criados em tanques-rede, e não observaram influência sobre a composição química de files, e também Hilbig et al. (2012) para juvenis de pacu </w:t>
      </w:r>
      <w:r>
        <w:rPr>
          <w:i/>
          <w:szCs w:val="24"/>
        </w:rPr>
        <w:t xml:space="preserve">Piaractus mesopotamicus </w:t>
      </w:r>
      <w:r>
        <w:rPr>
          <w:szCs w:val="24"/>
        </w:rPr>
        <w:t>alimentados com diferentes taxas de arroçoamento.</w:t>
      </w:r>
    </w:p>
    <w:p>
      <w:pPr>
        <w:pStyle w:val="Normal"/>
        <w:spacing w:lineRule="auto" w:line="240" w:before="0" w:after="0"/>
        <w:ind w:firstLine="567"/>
        <w:jc w:val="both"/>
        <w:rPr>
          <w:szCs w:val="24"/>
        </w:rPr>
      </w:pPr>
      <w:r>
        <w:rPr>
          <w:szCs w:val="24"/>
        </w:rPr>
      </w:r>
    </w:p>
    <w:p>
      <w:pPr>
        <w:pStyle w:val="Normal"/>
        <w:spacing w:lineRule="auto" w:line="240" w:before="0" w:after="0"/>
        <w:ind w:firstLine="567"/>
        <w:jc w:val="both"/>
        <w:rPr>
          <w:szCs w:val="24"/>
        </w:rPr>
      </w:pPr>
      <w:r>
        <w:rPr>
          <w:szCs w:val="24"/>
        </w:rPr>
      </w:r>
    </w:p>
    <w:p>
      <w:pPr>
        <w:pStyle w:val="Normal"/>
        <w:spacing w:lineRule="auto" w:line="240" w:before="0" w:after="0"/>
        <w:jc w:val="both"/>
        <w:rPr>
          <w:szCs w:val="24"/>
        </w:rPr>
      </w:pPr>
      <w:r>
        <w:rPr>
          <w:szCs w:val="24"/>
        </w:rPr>
        <w:t>Tabela 2. Composição centesimal da carcaça (matéria natural) do jundiá alimentado com dietas peletizadas e extrusadas em diferentes percentuais de arraçoamento.</w:t>
      </w:r>
    </w:p>
    <w:tbl>
      <w:tblPr>
        <w:tblStyle w:val="Tabelacomgrade"/>
        <w:tblW w:w="9696" w:type="dxa"/>
        <w:jc w:val="left"/>
        <w:tblInd w:w="0" w:type="dxa"/>
        <w:tblCellMar>
          <w:top w:w="0" w:type="dxa"/>
          <w:left w:w="108" w:type="dxa"/>
          <w:bottom w:w="0" w:type="dxa"/>
          <w:right w:w="108" w:type="dxa"/>
        </w:tblCellMar>
        <w:tblLook w:firstRow="1" w:noVBand="1" w:lastRow="0" w:firstColumn="1" w:lastColumn="0" w:noHBand="0" w:val="04a0"/>
      </w:tblPr>
      <w:tblGrid>
        <w:gridCol w:w="1615"/>
        <w:gridCol w:w="1615"/>
        <w:gridCol w:w="1"/>
        <w:gridCol w:w="1461"/>
        <w:gridCol w:w="1456"/>
        <w:gridCol w:w="1455"/>
        <w:gridCol w:w="2092"/>
      </w:tblGrid>
      <w:tr>
        <w:trPr>
          <w:trHeight w:val="277" w:hRule="atLeast"/>
        </w:trPr>
        <w:tc>
          <w:tcPr>
            <w:tcW w:w="1615" w:type="dxa"/>
            <w:tcBorders>
              <w:left w:val="nil"/>
              <w:right w:val="nil"/>
              <w:insideV w:val="nil"/>
            </w:tcBorders>
            <w:shd w:fill="auto" w:val="clear"/>
          </w:tcPr>
          <w:p>
            <w:pPr>
              <w:pStyle w:val="Normal"/>
              <w:spacing w:lineRule="auto" w:line="240" w:before="0" w:after="0"/>
              <w:jc w:val="both"/>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1616" w:type="dxa"/>
            <w:gridSpan w:val="2"/>
            <w:tcBorders>
              <w:left w:val="nil"/>
              <w:right w:val="nil"/>
              <w:insideV w:val="nil"/>
            </w:tcBorders>
            <w:shd w:fill="auto" w:val="clear"/>
          </w:tcPr>
          <w:p>
            <w:pPr>
              <w:pStyle w:val="Normal"/>
              <w:spacing w:lineRule="auto" w:line="240" w:before="0" w:after="0"/>
              <w:jc w:val="both"/>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6464" w:type="dxa"/>
            <w:gridSpan w:val="4"/>
            <w:tcBorders>
              <w:left w:val="nil"/>
              <w:right w:val="nil"/>
              <w:insideV w:val="nil"/>
            </w:tcBorders>
            <w:shd w:fill="auto" w:val="clear"/>
          </w:tcPr>
          <w:p>
            <w:pPr>
              <w:pStyle w:val="Normal"/>
              <w:spacing w:lineRule="auto" w:line="240" w:before="0" w:after="0"/>
              <w:jc w:val="both"/>
              <w:rPr>
                <w:rFonts w:ascii="Times New Roman" w:hAnsi="Times New Roman" w:cs="Times New Roman"/>
                <w:szCs w:val="24"/>
              </w:rPr>
            </w:pPr>
            <w:r>
              <w:rPr>
                <w:rFonts w:eastAsia="Calibri" w:cs="Times New Roman" w:eastAsiaTheme="minorHAnsi"/>
                <w:szCs w:val="24"/>
                <w:lang w:eastAsia="en-US"/>
              </w:rPr>
              <w:t>Variáveis (%)</w:t>
            </w:r>
          </w:p>
        </w:tc>
      </w:tr>
      <w:tr>
        <w:trPr>
          <w:trHeight w:val="277" w:hRule="atLeast"/>
        </w:trPr>
        <w:tc>
          <w:tcPr>
            <w:tcW w:w="1615" w:type="dxa"/>
            <w:tcBorders>
              <w:left w:val="nil"/>
              <w:right w:val="nil"/>
              <w:insideV w:val="nil"/>
            </w:tcBorders>
            <w:shd w:fill="auto" w:val="clear"/>
          </w:tcPr>
          <w:p>
            <w:pPr>
              <w:pStyle w:val="Normal"/>
              <w:spacing w:lineRule="auto" w:line="240" w:before="0" w:after="0"/>
              <w:jc w:val="both"/>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1616" w:type="dxa"/>
            <w:gridSpan w:val="2"/>
            <w:tcBorders>
              <w:left w:val="nil"/>
              <w:right w:val="nil"/>
              <w:insideV w:val="nil"/>
            </w:tcBorders>
            <w:shd w:fill="auto" w:val="clear"/>
          </w:tcPr>
          <w:p>
            <w:pPr>
              <w:pStyle w:val="Normal"/>
              <w:spacing w:lineRule="auto" w:line="240" w:before="0" w:after="0"/>
              <w:jc w:val="both"/>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1461"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Umidade</w:t>
            </w:r>
          </w:p>
        </w:tc>
        <w:tc>
          <w:tcPr>
            <w:tcW w:w="1456"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Lipídeos</w:t>
            </w:r>
          </w:p>
        </w:tc>
        <w:tc>
          <w:tcPr>
            <w:tcW w:w="1455"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Cinzas</w:t>
            </w:r>
          </w:p>
        </w:tc>
        <w:tc>
          <w:tcPr>
            <w:tcW w:w="2092"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Proteína bruta</w:t>
            </w:r>
          </w:p>
        </w:tc>
      </w:tr>
      <w:tr>
        <w:trPr>
          <w:trHeight w:val="277" w:hRule="atLeast"/>
        </w:trPr>
        <w:tc>
          <w:tcPr>
            <w:tcW w:w="1615" w:type="dxa"/>
            <w:vMerge w:val="restart"/>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Cs w:val="24"/>
              </w:rPr>
            </w:pPr>
            <w:r>
              <w:rPr>
                <w:rFonts w:eastAsia="Calibri" w:cs="Times New Roman" w:eastAsiaTheme="minorHAnsi"/>
                <w:szCs w:val="24"/>
                <w:lang w:eastAsia="en-US"/>
              </w:rPr>
              <w:t>Ração</w:t>
            </w:r>
          </w:p>
        </w:tc>
        <w:tc>
          <w:tcPr>
            <w:tcW w:w="1616" w:type="dxa"/>
            <w:gridSpan w:val="2"/>
            <w:tcBorders>
              <w:left w:val="nil"/>
              <w:bottom w:val="nil"/>
              <w:right w:val="nil"/>
              <w:insideH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Peletizada</w:t>
            </w:r>
          </w:p>
        </w:tc>
        <w:tc>
          <w:tcPr>
            <w:tcW w:w="1461"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71,14</w:t>
            </w:r>
          </w:p>
        </w:tc>
        <w:tc>
          <w:tcPr>
            <w:tcW w:w="1456"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11,13</w:t>
            </w:r>
          </w:p>
        </w:tc>
        <w:tc>
          <w:tcPr>
            <w:tcW w:w="1455"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5,36</w:t>
            </w:r>
          </w:p>
        </w:tc>
        <w:tc>
          <w:tcPr>
            <w:tcW w:w="2092"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14,90</w:t>
            </w:r>
          </w:p>
        </w:tc>
      </w:tr>
      <w:tr>
        <w:trPr>
          <w:trHeight w:val="292" w:hRule="atLeast"/>
        </w:trPr>
        <w:tc>
          <w:tcPr>
            <w:tcW w:w="1615"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1616"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Extrusada</w:t>
            </w:r>
          </w:p>
        </w:tc>
        <w:tc>
          <w:tcPr>
            <w:tcW w:w="1461"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70,94</w:t>
            </w:r>
          </w:p>
        </w:tc>
        <w:tc>
          <w:tcPr>
            <w:tcW w:w="1456"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11,53</w:t>
            </w:r>
          </w:p>
        </w:tc>
        <w:tc>
          <w:tcPr>
            <w:tcW w:w="1455"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5,21</w:t>
            </w:r>
          </w:p>
        </w:tc>
        <w:tc>
          <w:tcPr>
            <w:tcW w:w="2092"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16,34</w:t>
            </w:r>
          </w:p>
        </w:tc>
      </w:tr>
      <w:tr>
        <w:trPr>
          <w:trHeight w:val="277" w:hRule="atLeast"/>
        </w:trPr>
        <w:tc>
          <w:tcPr>
            <w:tcW w:w="1615" w:type="dxa"/>
            <w:vMerge w:val="restart"/>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Cs w:val="24"/>
              </w:rPr>
            </w:pPr>
            <w:r>
              <w:rPr>
                <w:rFonts w:eastAsia="Calibri" w:cs="Times New Roman" w:eastAsiaTheme="minorHAnsi"/>
                <w:szCs w:val="24"/>
                <w:lang w:eastAsia="en-US"/>
              </w:rPr>
              <w:t>Arrac. (%)</w:t>
            </w:r>
          </w:p>
        </w:tc>
        <w:tc>
          <w:tcPr>
            <w:tcW w:w="1616"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2</w:t>
            </w:r>
          </w:p>
        </w:tc>
        <w:tc>
          <w:tcPr>
            <w:tcW w:w="1461"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71,72</w:t>
            </w:r>
          </w:p>
        </w:tc>
        <w:tc>
          <w:tcPr>
            <w:tcW w:w="1456"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10,66</w:t>
            </w:r>
          </w:p>
        </w:tc>
        <w:tc>
          <w:tcPr>
            <w:tcW w:w="1455"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5,38</w:t>
            </w:r>
          </w:p>
        </w:tc>
        <w:tc>
          <w:tcPr>
            <w:tcW w:w="2092"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14,44</w:t>
            </w:r>
          </w:p>
        </w:tc>
      </w:tr>
      <w:tr>
        <w:trPr>
          <w:trHeight w:val="277" w:hRule="atLeast"/>
        </w:trPr>
        <w:tc>
          <w:tcPr>
            <w:tcW w:w="1615"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1616"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5</w:t>
            </w:r>
          </w:p>
        </w:tc>
        <w:tc>
          <w:tcPr>
            <w:tcW w:w="1461"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71,00</w:t>
            </w:r>
          </w:p>
        </w:tc>
        <w:tc>
          <w:tcPr>
            <w:tcW w:w="145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11,35</w:t>
            </w:r>
          </w:p>
        </w:tc>
        <w:tc>
          <w:tcPr>
            <w:tcW w:w="1455"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5,38</w:t>
            </w:r>
          </w:p>
        </w:tc>
        <w:tc>
          <w:tcPr>
            <w:tcW w:w="209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15,06</w:t>
            </w:r>
          </w:p>
        </w:tc>
      </w:tr>
      <w:tr>
        <w:trPr>
          <w:trHeight w:val="277" w:hRule="atLeast"/>
        </w:trPr>
        <w:tc>
          <w:tcPr>
            <w:tcW w:w="1615"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1616"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8</w:t>
            </w:r>
          </w:p>
        </w:tc>
        <w:tc>
          <w:tcPr>
            <w:tcW w:w="1461"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70,33</w:t>
            </w:r>
          </w:p>
        </w:tc>
        <w:tc>
          <w:tcPr>
            <w:tcW w:w="145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11,87</w:t>
            </w:r>
          </w:p>
        </w:tc>
        <w:tc>
          <w:tcPr>
            <w:tcW w:w="1455"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5,39</w:t>
            </w:r>
          </w:p>
        </w:tc>
        <w:tc>
          <w:tcPr>
            <w:tcW w:w="209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16,84</w:t>
            </w:r>
          </w:p>
        </w:tc>
      </w:tr>
      <w:tr>
        <w:trPr>
          <w:trHeight w:val="292" w:hRule="atLeast"/>
        </w:trPr>
        <w:tc>
          <w:tcPr>
            <w:tcW w:w="1615" w:type="dxa"/>
            <w:vMerge w:val="continue"/>
            <w:tcBorders>
              <w:top w:val="nil"/>
              <w:left w:val="nil"/>
              <w:right w:val="nil"/>
              <w:insideV w:val="nil"/>
            </w:tcBorders>
            <w:shd w:fill="auto" w:val="clear"/>
          </w:tcPr>
          <w:p>
            <w:pPr>
              <w:pStyle w:val="Normal"/>
              <w:spacing w:lineRule="auto" w:line="240" w:before="0" w:after="0"/>
              <w:jc w:val="both"/>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1616" w:type="dxa"/>
            <w:gridSpan w:val="2"/>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11</w:t>
            </w:r>
          </w:p>
        </w:tc>
        <w:tc>
          <w:tcPr>
            <w:tcW w:w="1461"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71,20</w:t>
            </w:r>
          </w:p>
        </w:tc>
        <w:tc>
          <w:tcPr>
            <w:tcW w:w="1456"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11,38</w:t>
            </w:r>
          </w:p>
        </w:tc>
        <w:tc>
          <w:tcPr>
            <w:tcW w:w="1455"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5,01</w:t>
            </w:r>
          </w:p>
        </w:tc>
        <w:tc>
          <w:tcPr>
            <w:tcW w:w="2092"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16,09</w:t>
            </w:r>
          </w:p>
        </w:tc>
      </w:tr>
      <w:tr>
        <w:trPr>
          <w:trHeight w:val="277" w:hRule="atLeast"/>
        </w:trPr>
        <w:tc>
          <w:tcPr>
            <w:tcW w:w="1615" w:type="dxa"/>
            <w:tcBorders>
              <w:left w:val="nil"/>
              <w:right w:val="nil"/>
              <w:insideV w:val="nil"/>
            </w:tcBorders>
            <w:shd w:fill="auto" w:val="clear"/>
          </w:tcPr>
          <w:p>
            <w:pPr>
              <w:pStyle w:val="Normal"/>
              <w:spacing w:lineRule="auto" w:line="240" w:before="0" w:after="0"/>
              <w:jc w:val="both"/>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8080" w:type="dxa"/>
            <w:gridSpan w:val="6"/>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 xml:space="preserve">Significância </w:t>
            </w:r>
          </w:p>
        </w:tc>
      </w:tr>
      <w:tr>
        <w:trPr>
          <w:trHeight w:val="277" w:hRule="atLeast"/>
        </w:trPr>
        <w:tc>
          <w:tcPr>
            <w:tcW w:w="3230" w:type="dxa"/>
            <w:gridSpan w:val="2"/>
            <w:tcBorders>
              <w:left w:val="nil"/>
              <w:bottom w:val="nil"/>
              <w:right w:val="nil"/>
              <w:insideH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Ração</w:t>
            </w:r>
          </w:p>
        </w:tc>
        <w:tc>
          <w:tcPr>
            <w:tcW w:w="146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456"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455"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2092"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r>
      <w:tr>
        <w:trPr>
          <w:trHeight w:val="277" w:hRule="atLeast"/>
        </w:trPr>
        <w:tc>
          <w:tcPr>
            <w:tcW w:w="3230"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Arraç. (%)</w:t>
            </w:r>
          </w:p>
        </w:tc>
        <w:tc>
          <w:tcPr>
            <w:tcW w:w="146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45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455"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209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r>
      <w:tr>
        <w:trPr>
          <w:trHeight w:val="277" w:hRule="atLeast"/>
        </w:trPr>
        <w:tc>
          <w:tcPr>
            <w:tcW w:w="3230"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Ração x Arraç.</w:t>
            </w:r>
          </w:p>
        </w:tc>
        <w:tc>
          <w:tcPr>
            <w:tcW w:w="1462" w:type="dxa"/>
            <w:gridSpan w:val="2"/>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456"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455"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2092"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r>
    </w:tbl>
    <w:p>
      <w:pPr>
        <w:pStyle w:val="Normal"/>
        <w:spacing w:lineRule="auto" w:line="240" w:before="0" w:after="0"/>
        <w:jc w:val="both"/>
        <w:rPr>
          <w:szCs w:val="24"/>
        </w:rPr>
      </w:pPr>
      <w:r>
        <w:rPr>
          <w:szCs w:val="24"/>
        </w:rPr>
        <w:t xml:space="preserve">Ns = não significativo; </w:t>
      </w:r>
      <w:r>
        <w:rPr>
          <w:sz w:val="20"/>
          <w:szCs w:val="24"/>
        </w:rPr>
        <w:t>Arraç. (%) = Arraçoamento (%);</w:t>
      </w:r>
    </w:p>
    <w:p>
      <w:pPr>
        <w:pStyle w:val="Normal"/>
        <w:spacing w:lineRule="auto" w:line="240" w:before="0" w:after="0"/>
        <w:ind w:firstLine="567"/>
        <w:jc w:val="both"/>
        <w:rPr>
          <w:szCs w:val="24"/>
        </w:rPr>
      </w:pPr>
      <w:r>
        <w:rPr>
          <w:szCs w:val="24"/>
        </w:rPr>
      </w:r>
    </w:p>
    <w:p>
      <w:pPr>
        <w:pStyle w:val="Normal"/>
        <w:spacing w:lineRule="auto" w:line="240" w:before="0" w:after="0"/>
        <w:ind w:firstLine="567"/>
        <w:jc w:val="both"/>
        <w:rPr>
          <w:szCs w:val="24"/>
        </w:rPr>
      </w:pPr>
      <w:r>
        <w:rPr>
          <w:szCs w:val="24"/>
        </w:rPr>
      </w:r>
    </w:p>
    <w:p>
      <w:pPr>
        <w:pStyle w:val="Normal"/>
        <w:spacing w:lineRule="auto" w:line="240" w:before="0" w:after="0"/>
        <w:ind w:firstLine="567"/>
        <w:jc w:val="both"/>
        <w:rPr>
          <w:szCs w:val="24"/>
        </w:rPr>
      </w:pPr>
      <w:r>
        <w:rPr>
          <w:szCs w:val="24"/>
        </w:rPr>
        <w:t xml:space="preserve">Com relação aos parâmetros hematológicos e bioquímicos observou-se influenciadas (P&gt;0,05) dos tipos de ração (peletizada e extrusada) sobre os parâmetros eritrócitos, proteína plasmática total e colesterol total, e não influenciou (P&lt;0,05) os hematócritos, hemoglobina, glicose, triglicerídeos e albumina. Com relação a taxa de arraçoamento observou-se influencia (P&gt;0,05) somente para os triglicerídeos. </w:t>
      </w:r>
    </w:p>
    <w:p>
      <w:pPr>
        <w:pStyle w:val="Normal"/>
        <w:spacing w:lineRule="auto" w:line="240" w:before="0" w:after="0"/>
        <w:jc w:val="both"/>
        <w:rPr>
          <w:szCs w:val="24"/>
        </w:rPr>
      </w:pPr>
      <w:r>
        <w:rPr>
          <w:szCs w:val="24"/>
        </w:rPr>
      </w:r>
    </w:p>
    <w:p>
      <w:pPr>
        <w:pStyle w:val="Normal"/>
        <w:spacing w:lineRule="auto" w:line="240" w:before="0" w:after="0"/>
        <w:rPr>
          <w:szCs w:val="24"/>
        </w:rPr>
      </w:pPr>
      <w:r>
        <w:rPr>
          <w:szCs w:val="24"/>
        </w:rPr>
      </w:r>
      <w:r>
        <w:br w:type="page"/>
      </w:r>
    </w:p>
    <w:p>
      <w:pPr>
        <w:pStyle w:val="Normal"/>
        <w:spacing w:lineRule="auto" w:line="240" w:before="0" w:after="0"/>
        <w:rPr>
          <w:szCs w:val="24"/>
        </w:rPr>
      </w:pPr>
      <w:r>
        <w:rPr>
          <w:szCs w:val="24"/>
        </w:rPr>
        <w:t>Tabela 3: Perfil hematológico e bioquímico do jundiá alimentado com dietas peletizadas e extrusadas em diferentes percentuais de arraçoamento.</w:t>
      </w:r>
    </w:p>
    <w:tbl>
      <w:tblPr>
        <w:tblStyle w:val="Tabelacomgrade"/>
        <w:tblW w:w="9628" w:type="dxa"/>
        <w:jc w:val="left"/>
        <w:tblInd w:w="-5" w:type="dxa"/>
        <w:tblCellMar>
          <w:top w:w="0" w:type="dxa"/>
          <w:left w:w="108" w:type="dxa"/>
          <w:bottom w:w="0" w:type="dxa"/>
          <w:right w:w="108" w:type="dxa"/>
        </w:tblCellMar>
        <w:tblLook w:firstRow="1" w:noVBand="1" w:lastRow="0" w:firstColumn="1" w:lastColumn="0" w:noHBand="0" w:val="04a0"/>
      </w:tblPr>
      <w:tblGrid>
        <w:gridCol w:w="1051"/>
        <w:gridCol w:w="797"/>
        <w:gridCol w:w="913"/>
        <w:gridCol w:w="918"/>
        <w:gridCol w:w="855"/>
        <w:gridCol w:w="961"/>
        <w:gridCol w:w="962"/>
        <w:gridCol w:w="1169"/>
        <w:gridCol w:w="1162"/>
        <w:gridCol w:w="839"/>
      </w:tblGrid>
      <w:tr>
        <w:trPr>
          <w:trHeight w:val="280" w:hRule="atLeast"/>
        </w:trPr>
        <w:tc>
          <w:tcPr>
            <w:tcW w:w="1848" w:type="dxa"/>
            <w:gridSpan w:val="2"/>
            <w:vMerge w:val="restart"/>
            <w:tcBorders>
              <w:left w:val="nil"/>
              <w:right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7779" w:type="dxa"/>
            <w:gridSpan w:val="8"/>
            <w:tcBorders>
              <w:left w:val="nil"/>
              <w:right w:val="nil"/>
              <w:insideV w:val="nil"/>
            </w:tcBorders>
            <w:shd w:fill="auto" w:val="clear"/>
          </w:tcPr>
          <w:p>
            <w:pPr>
              <w:pStyle w:val="Normal"/>
              <w:spacing w:lineRule="auto" w:line="240" w:before="0" w:after="0"/>
              <w:jc w:val="center"/>
              <w:rPr>
                <w:szCs w:val="24"/>
              </w:rPr>
            </w:pPr>
            <w:r>
              <w:rPr>
                <w:rFonts w:eastAsia="Calibri" w:cs="Times New Roman" w:eastAsiaTheme="minorHAnsi"/>
                <w:szCs w:val="24"/>
                <w:lang w:eastAsia="en-US"/>
              </w:rPr>
              <w:t>Variáveis</w:t>
            </w:r>
          </w:p>
        </w:tc>
      </w:tr>
      <w:tr>
        <w:trPr>
          <w:trHeight w:val="280" w:hRule="atLeast"/>
        </w:trPr>
        <w:tc>
          <w:tcPr>
            <w:tcW w:w="1848" w:type="dxa"/>
            <w:gridSpan w:val="2"/>
            <w:vMerge w:val="continue"/>
            <w:tcBorders>
              <w:left w:val="nil"/>
              <w:right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913"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ERIT</w:t>
            </w:r>
          </w:p>
        </w:tc>
        <w:tc>
          <w:tcPr>
            <w:tcW w:w="918"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HTC</w:t>
            </w:r>
          </w:p>
        </w:tc>
        <w:tc>
          <w:tcPr>
            <w:tcW w:w="855"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HB</w:t>
            </w:r>
          </w:p>
        </w:tc>
        <w:tc>
          <w:tcPr>
            <w:tcW w:w="961"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GLI</w:t>
            </w:r>
          </w:p>
        </w:tc>
        <w:tc>
          <w:tcPr>
            <w:tcW w:w="962"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PPT</w:t>
            </w:r>
          </w:p>
        </w:tc>
        <w:tc>
          <w:tcPr>
            <w:tcW w:w="1169"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TRI</w:t>
            </w:r>
          </w:p>
        </w:tc>
        <w:tc>
          <w:tcPr>
            <w:tcW w:w="1162"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COL</w:t>
            </w:r>
          </w:p>
        </w:tc>
        <w:tc>
          <w:tcPr>
            <w:tcW w:w="839" w:type="dxa"/>
            <w:tcBorders>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ALB</w:t>
            </w:r>
          </w:p>
        </w:tc>
      </w:tr>
      <w:tr>
        <w:trPr>
          <w:trHeight w:val="265" w:hRule="atLeast"/>
        </w:trPr>
        <w:tc>
          <w:tcPr>
            <w:tcW w:w="1051" w:type="dxa"/>
            <w:vMerge w:val="restart"/>
            <w:tcBorders>
              <w:left w:val="nil"/>
              <w:bottom w:val="nil"/>
              <w:right w:val="nil"/>
              <w:insideH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Dieta</w:t>
            </w:r>
          </w:p>
        </w:tc>
        <w:tc>
          <w:tcPr>
            <w:tcW w:w="797" w:type="dxa"/>
            <w:tcBorders>
              <w:left w:val="nil"/>
              <w:bottom w:val="nil"/>
              <w:right w:val="nil"/>
              <w:insideH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Pel.</w:t>
            </w:r>
          </w:p>
        </w:tc>
        <w:tc>
          <w:tcPr>
            <w:tcW w:w="913"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2,10B</w:t>
            </w:r>
          </w:p>
        </w:tc>
        <w:tc>
          <w:tcPr>
            <w:tcW w:w="918"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43,03</w:t>
            </w:r>
          </w:p>
        </w:tc>
        <w:tc>
          <w:tcPr>
            <w:tcW w:w="855"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7,09</w:t>
            </w:r>
          </w:p>
        </w:tc>
        <w:tc>
          <w:tcPr>
            <w:tcW w:w="961"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50,04</w:t>
            </w:r>
          </w:p>
        </w:tc>
        <w:tc>
          <w:tcPr>
            <w:tcW w:w="962"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5,19B</w:t>
            </w:r>
          </w:p>
        </w:tc>
        <w:tc>
          <w:tcPr>
            <w:tcW w:w="1169"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892,76</w:t>
            </w:r>
          </w:p>
        </w:tc>
        <w:tc>
          <w:tcPr>
            <w:tcW w:w="1162"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178,30B</w:t>
            </w:r>
          </w:p>
        </w:tc>
        <w:tc>
          <w:tcPr>
            <w:tcW w:w="839"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2,16</w:t>
            </w:r>
          </w:p>
        </w:tc>
      </w:tr>
      <w:tr>
        <w:trPr>
          <w:trHeight w:val="280" w:hRule="atLeast"/>
        </w:trPr>
        <w:tc>
          <w:tcPr>
            <w:tcW w:w="1051" w:type="dxa"/>
            <w:vMerge w:val="continue"/>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797" w:type="dxa"/>
            <w:tcBorders>
              <w:top w:val="nil"/>
              <w:left w:val="nil"/>
              <w:right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Ext.</w:t>
            </w:r>
          </w:p>
        </w:tc>
        <w:tc>
          <w:tcPr>
            <w:tcW w:w="913"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2,39A</w:t>
            </w:r>
          </w:p>
        </w:tc>
        <w:tc>
          <w:tcPr>
            <w:tcW w:w="918"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40,37</w:t>
            </w:r>
          </w:p>
        </w:tc>
        <w:tc>
          <w:tcPr>
            <w:tcW w:w="855"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7,17</w:t>
            </w:r>
          </w:p>
        </w:tc>
        <w:tc>
          <w:tcPr>
            <w:tcW w:w="961"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52,83</w:t>
            </w:r>
          </w:p>
        </w:tc>
        <w:tc>
          <w:tcPr>
            <w:tcW w:w="962"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6,24A</w:t>
            </w:r>
          </w:p>
        </w:tc>
        <w:tc>
          <w:tcPr>
            <w:tcW w:w="1169"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994,93</w:t>
            </w:r>
          </w:p>
        </w:tc>
        <w:tc>
          <w:tcPr>
            <w:tcW w:w="1162"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198,90A</w:t>
            </w:r>
          </w:p>
        </w:tc>
        <w:tc>
          <w:tcPr>
            <w:tcW w:w="839"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2,40</w:t>
            </w:r>
          </w:p>
        </w:tc>
      </w:tr>
      <w:tr>
        <w:trPr>
          <w:trHeight w:val="265" w:hRule="atLeast"/>
        </w:trPr>
        <w:tc>
          <w:tcPr>
            <w:tcW w:w="1051"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Arraç. (%)</w:t>
            </w:r>
          </w:p>
        </w:tc>
        <w:tc>
          <w:tcPr>
            <w:tcW w:w="797"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2</w:t>
            </w:r>
          </w:p>
        </w:tc>
        <w:tc>
          <w:tcPr>
            <w:tcW w:w="913"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1,96</w:t>
            </w:r>
          </w:p>
        </w:tc>
        <w:tc>
          <w:tcPr>
            <w:tcW w:w="918"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41,47</w:t>
            </w:r>
          </w:p>
        </w:tc>
        <w:tc>
          <w:tcPr>
            <w:tcW w:w="855"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7,20</w:t>
            </w:r>
          </w:p>
        </w:tc>
        <w:tc>
          <w:tcPr>
            <w:tcW w:w="961"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54,13</w:t>
            </w:r>
          </w:p>
        </w:tc>
        <w:tc>
          <w:tcPr>
            <w:tcW w:w="962"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5,16</w:t>
            </w:r>
          </w:p>
        </w:tc>
        <w:tc>
          <w:tcPr>
            <w:tcW w:w="1169"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935,89ab</w:t>
            </w:r>
          </w:p>
        </w:tc>
        <w:tc>
          <w:tcPr>
            <w:tcW w:w="1162"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185,71</w:t>
            </w:r>
          </w:p>
        </w:tc>
        <w:tc>
          <w:tcPr>
            <w:tcW w:w="839"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2,16</w:t>
            </w:r>
          </w:p>
        </w:tc>
      </w:tr>
      <w:tr>
        <w:trPr>
          <w:trHeight w:val="265" w:hRule="atLeast"/>
        </w:trPr>
        <w:tc>
          <w:tcPr>
            <w:tcW w:w="1051" w:type="dxa"/>
            <w:vMerge w:val="continue"/>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797"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5</w:t>
            </w:r>
          </w:p>
        </w:tc>
        <w:tc>
          <w:tcPr>
            <w:tcW w:w="913"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2,33</w:t>
            </w:r>
          </w:p>
        </w:tc>
        <w:tc>
          <w:tcPr>
            <w:tcW w:w="91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44,00</w:t>
            </w:r>
          </w:p>
        </w:tc>
        <w:tc>
          <w:tcPr>
            <w:tcW w:w="855"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7,25</w:t>
            </w:r>
          </w:p>
        </w:tc>
        <w:tc>
          <w:tcPr>
            <w:tcW w:w="961"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52,94</w:t>
            </w:r>
          </w:p>
        </w:tc>
        <w:tc>
          <w:tcPr>
            <w:tcW w:w="96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5,46</w:t>
            </w:r>
          </w:p>
        </w:tc>
        <w:tc>
          <w:tcPr>
            <w:tcW w:w="1169"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881,70ab</w:t>
            </w:r>
          </w:p>
        </w:tc>
        <w:tc>
          <w:tcPr>
            <w:tcW w:w="116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201,80</w:t>
            </w:r>
          </w:p>
        </w:tc>
        <w:tc>
          <w:tcPr>
            <w:tcW w:w="839"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2,45</w:t>
            </w:r>
          </w:p>
        </w:tc>
      </w:tr>
      <w:tr>
        <w:trPr>
          <w:trHeight w:val="265" w:hRule="atLeast"/>
        </w:trPr>
        <w:tc>
          <w:tcPr>
            <w:tcW w:w="1051" w:type="dxa"/>
            <w:vMerge w:val="continue"/>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797"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8</w:t>
            </w:r>
          </w:p>
        </w:tc>
        <w:tc>
          <w:tcPr>
            <w:tcW w:w="913"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2,33</w:t>
            </w:r>
          </w:p>
        </w:tc>
        <w:tc>
          <w:tcPr>
            <w:tcW w:w="91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39,38</w:t>
            </w:r>
          </w:p>
        </w:tc>
        <w:tc>
          <w:tcPr>
            <w:tcW w:w="855"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6,82</w:t>
            </w:r>
          </w:p>
        </w:tc>
        <w:tc>
          <w:tcPr>
            <w:tcW w:w="961"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50,19</w:t>
            </w:r>
          </w:p>
        </w:tc>
        <w:tc>
          <w:tcPr>
            <w:tcW w:w="96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6,32</w:t>
            </w:r>
          </w:p>
        </w:tc>
        <w:tc>
          <w:tcPr>
            <w:tcW w:w="1169"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1071,59a</w:t>
            </w:r>
          </w:p>
        </w:tc>
        <w:tc>
          <w:tcPr>
            <w:tcW w:w="116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192,75</w:t>
            </w:r>
          </w:p>
        </w:tc>
        <w:tc>
          <w:tcPr>
            <w:tcW w:w="839"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2,17</w:t>
            </w:r>
          </w:p>
        </w:tc>
      </w:tr>
      <w:tr>
        <w:trPr>
          <w:trHeight w:val="280" w:hRule="atLeast"/>
        </w:trPr>
        <w:tc>
          <w:tcPr>
            <w:tcW w:w="1051" w:type="dxa"/>
            <w:vMerge w:val="continue"/>
            <w:tcBorders>
              <w:top w:val="nil"/>
              <w:left w:val="nil"/>
              <w:right w:val="nil"/>
              <w:insideV w:val="nil"/>
            </w:tcBorders>
            <w:shd w:fill="auto" w:val="clear"/>
          </w:tcPr>
          <w:p>
            <w:pPr>
              <w:pStyle w:val="Normal"/>
              <w:spacing w:lineRule="auto" w:line="240" w:before="0" w:after="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797"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11</w:t>
            </w:r>
          </w:p>
        </w:tc>
        <w:tc>
          <w:tcPr>
            <w:tcW w:w="913"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2,31</w:t>
            </w:r>
          </w:p>
        </w:tc>
        <w:tc>
          <w:tcPr>
            <w:tcW w:w="918"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41,33</w:t>
            </w:r>
          </w:p>
        </w:tc>
        <w:tc>
          <w:tcPr>
            <w:tcW w:w="855"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7,24</w:t>
            </w:r>
          </w:p>
        </w:tc>
        <w:tc>
          <w:tcPr>
            <w:tcW w:w="961"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49,93</w:t>
            </w:r>
          </w:p>
        </w:tc>
        <w:tc>
          <w:tcPr>
            <w:tcW w:w="962"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5,77</w:t>
            </w:r>
          </w:p>
        </w:tc>
        <w:tc>
          <w:tcPr>
            <w:tcW w:w="1169"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882,54b</w:t>
            </w:r>
          </w:p>
        </w:tc>
        <w:tc>
          <w:tcPr>
            <w:tcW w:w="1162"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174,71</w:t>
            </w:r>
          </w:p>
        </w:tc>
        <w:tc>
          <w:tcPr>
            <w:tcW w:w="839"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2,32</w:t>
            </w:r>
          </w:p>
        </w:tc>
      </w:tr>
      <w:tr>
        <w:trPr>
          <w:trHeight w:val="265" w:hRule="atLeast"/>
        </w:trPr>
        <w:tc>
          <w:tcPr>
            <w:tcW w:w="9627" w:type="dxa"/>
            <w:gridSpan w:val="10"/>
            <w:tcBorders>
              <w:left w:val="nil"/>
              <w:right w:val="nil"/>
              <w:insideV w:val="nil"/>
            </w:tcBorders>
            <w:shd w:fill="auto" w:val="clear"/>
          </w:tcPr>
          <w:p>
            <w:pPr>
              <w:pStyle w:val="Normal"/>
              <w:spacing w:lineRule="auto" w:line="240" w:before="0" w:after="0"/>
              <w:jc w:val="center"/>
              <w:rPr>
                <w:i/>
                <w:i/>
                <w:szCs w:val="24"/>
              </w:rPr>
            </w:pPr>
            <w:r>
              <w:rPr>
                <w:rFonts w:eastAsia="Calibri" w:cs="" w:cstheme="minorBidi" w:eastAsiaTheme="minorHAnsi" w:ascii="Calibri" w:hAnsi="Calibri"/>
                <w:i/>
                <w:szCs w:val="24"/>
                <w:lang w:eastAsia="en-US"/>
              </w:rPr>
              <w:t xml:space="preserve">Significância </w:t>
            </w:r>
          </w:p>
        </w:tc>
      </w:tr>
      <w:tr>
        <w:trPr>
          <w:trHeight w:val="265" w:hRule="atLeast"/>
        </w:trPr>
        <w:tc>
          <w:tcPr>
            <w:tcW w:w="1848" w:type="dxa"/>
            <w:gridSpan w:val="2"/>
            <w:tcBorders>
              <w:left w:val="nil"/>
              <w:bottom w:val="nil"/>
              <w:right w:val="nil"/>
              <w:insideH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Ração</w:t>
            </w:r>
          </w:p>
        </w:tc>
        <w:tc>
          <w:tcPr>
            <w:tcW w:w="913"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w:t>
            </w:r>
          </w:p>
        </w:tc>
        <w:tc>
          <w:tcPr>
            <w:tcW w:w="918"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855"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961"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962"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w:t>
            </w:r>
          </w:p>
        </w:tc>
        <w:tc>
          <w:tcPr>
            <w:tcW w:w="1169"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162"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w:t>
            </w:r>
          </w:p>
        </w:tc>
        <w:tc>
          <w:tcPr>
            <w:tcW w:w="839" w:type="dxa"/>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r>
      <w:tr>
        <w:trPr>
          <w:trHeight w:val="265" w:hRule="atLeast"/>
        </w:trPr>
        <w:tc>
          <w:tcPr>
            <w:tcW w:w="184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Arraç. (%)</w:t>
            </w:r>
          </w:p>
        </w:tc>
        <w:tc>
          <w:tcPr>
            <w:tcW w:w="913"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918"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855"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961"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96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169"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w:t>
            </w:r>
          </w:p>
        </w:tc>
        <w:tc>
          <w:tcPr>
            <w:tcW w:w="116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839"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r>
      <w:tr>
        <w:trPr>
          <w:trHeight w:val="265" w:hRule="atLeast"/>
        </w:trPr>
        <w:tc>
          <w:tcPr>
            <w:tcW w:w="1848"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szCs w:val="24"/>
              </w:rPr>
            </w:pPr>
            <w:r>
              <w:rPr>
                <w:rFonts w:eastAsia="Calibri" w:cs="Times New Roman" w:eastAsiaTheme="minorHAnsi"/>
                <w:szCs w:val="24"/>
                <w:lang w:eastAsia="en-US"/>
              </w:rPr>
              <w:t>Ração x Arraç. (%)</w:t>
            </w:r>
          </w:p>
        </w:tc>
        <w:tc>
          <w:tcPr>
            <w:tcW w:w="913"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w:t>
            </w:r>
          </w:p>
        </w:tc>
        <w:tc>
          <w:tcPr>
            <w:tcW w:w="918"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855"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961"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962"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169"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1162"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c>
          <w:tcPr>
            <w:tcW w:w="839" w:type="dxa"/>
            <w:tcBorders>
              <w:top w:val="nil"/>
              <w:left w:val="nil"/>
              <w:right w:val="nil"/>
              <w:insideV w:val="nil"/>
            </w:tcBorders>
            <w:shd w:fill="auto" w:val="clear"/>
          </w:tcPr>
          <w:p>
            <w:pPr>
              <w:pStyle w:val="Normal"/>
              <w:spacing w:lineRule="auto" w:line="240" w:before="0" w:after="0"/>
              <w:jc w:val="center"/>
              <w:rPr>
                <w:rFonts w:ascii="Times New Roman" w:hAnsi="Times New Roman" w:cs="Times New Roman"/>
                <w:szCs w:val="24"/>
              </w:rPr>
            </w:pPr>
            <w:r>
              <w:rPr>
                <w:rFonts w:eastAsia="Calibri" w:cs="Times New Roman" w:eastAsiaTheme="minorHAnsi"/>
                <w:szCs w:val="24"/>
                <w:lang w:eastAsia="en-US"/>
              </w:rPr>
              <w:t>ns</w:t>
            </w:r>
          </w:p>
        </w:tc>
      </w:tr>
    </w:tbl>
    <w:p>
      <w:pPr>
        <w:pStyle w:val="Normal"/>
        <w:spacing w:lineRule="auto" w:line="240" w:before="0" w:after="0"/>
        <w:jc w:val="both"/>
        <w:rPr>
          <w:sz w:val="20"/>
          <w:szCs w:val="24"/>
        </w:rPr>
      </w:pPr>
      <w:r>
        <w:rPr>
          <w:sz w:val="20"/>
          <w:szCs w:val="24"/>
        </w:rPr>
        <w:t>Médias seguidas por letras distintas na coluna diferem (P&lt;0,05) pelo teste de Tukey. Letras minúsculas comparam efeito do % de arraçoamento ou da interação Dieta x Arraç; letras maiúsculas comparam efeito da dieta. Arraç. = % de arraçoamento; ns = não significativo; *P&lt;0,05; **P&lt;0,01. Pel. = peletizada; Ext. = extrusada; Arraç. (%) = Arraçoamento (%); ERIT (10</w:t>
      </w:r>
      <w:r>
        <w:rPr>
          <w:sz w:val="20"/>
          <w:szCs w:val="24"/>
          <w:vertAlign w:val="superscript"/>
        </w:rPr>
        <w:t>6</w:t>
      </w:r>
      <w:r>
        <w:rPr>
          <w:sz w:val="20"/>
          <w:szCs w:val="24"/>
        </w:rPr>
        <w:t xml:space="preserve"> µL</w:t>
      </w:r>
      <w:r>
        <w:rPr>
          <w:sz w:val="20"/>
          <w:szCs w:val="24"/>
          <w:vertAlign w:val="superscript"/>
        </w:rPr>
        <w:t>-1</w:t>
      </w:r>
      <w:r>
        <w:rPr>
          <w:sz w:val="20"/>
          <w:szCs w:val="24"/>
        </w:rPr>
        <w:t>) = eritrócitos; HTC (%) = hematócrito; HB (g dL</w:t>
      </w:r>
      <w:r>
        <w:rPr>
          <w:sz w:val="20"/>
          <w:szCs w:val="24"/>
          <w:vertAlign w:val="superscript"/>
        </w:rPr>
        <w:t>-1</w:t>
      </w:r>
      <w:r>
        <w:rPr>
          <w:sz w:val="20"/>
          <w:szCs w:val="24"/>
        </w:rPr>
        <w:t>) = hemoglobina; GLI (mg dL</w:t>
      </w:r>
      <w:r>
        <w:rPr>
          <w:sz w:val="20"/>
          <w:szCs w:val="24"/>
          <w:vertAlign w:val="superscript"/>
        </w:rPr>
        <w:t>-1</w:t>
      </w:r>
      <w:r>
        <w:rPr>
          <w:sz w:val="20"/>
          <w:szCs w:val="24"/>
        </w:rPr>
        <w:t>) = glicose; PPT (mg dL</w:t>
      </w:r>
      <w:r>
        <w:rPr>
          <w:sz w:val="20"/>
          <w:szCs w:val="24"/>
          <w:vertAlign w:val="superscript"/>
        </w:rPr>
        <w:t>-1</w:t>
      </w:r>
      <w:r>
        <w:rPr>
          <w:sz w:val="20"/>
          <w:szCs w:val="24"/>
        </w:rPr>
        <w:t>) = proteína plasmática total; TRI (mg dL</w:t>
      </w:r>
      <w:r>
        <w:rPr>
          <w:sz w:val="20"/>
          <w:szCs w:val="24"/>
          <w:vertAlign w:val="superscript"/>
        </w:rPr>
        <w:t>-1</w:t>
      </w:r>
      <w:r>
        <w:rPr>
          <w:sz w:val="20"/>
          <w:szCs w:val="24"/>
        </w:rPr>
        <w:t>) = triglicerídeos; COL (mg dL</w:t>
      </w:r>
      <w:r>
        <w:rPr>
          <w:sz w:val="20"/>
          <w:szCs w:val="24"/>
          <w:vertAlign w:val="superscript"/>
        </w:rPr>
        <w:t>-1</w:t>
      </w:r>
      <w:r>
        <w:rPr>
          <w:sz w:val="20"/>
          <w:szCs w:val="24"/>
        </w:rPr>
        <w:t>) = colesterol total; ALB (mg dL</w:t>
      </w:r>
      <w:r>
        <w:rPr>
          <w:sz w:val="20"/>
          <w:szCs w:val="24"/>
          <w:vertAlign w:val="superscript"/>
        </w:rPr>
        <w:t>-1</w:t>
      </w:r>
      <w:r>
        <w:rPr>
          <w:sz w:val="20"/>
          <w:szCs w:val="24"/>
        </w:rPr>
        <w:t>) = albumina.</w:t>
      </w:r>
    </w:p>
    <w:p>
      <w:pPr>
        <w:pStyle w:val="Normal"/>
        <w:spacing w:lineRule="auto" w:line="240" w:before="0" w:after="0"/>
        <w:ind w:firstLine="539"/>
        <w:jc w:val="both"/>
        <w:rPr>
          <w:color w:val="000000"/>
          <w:szCs w:val="24"/>
        </w:rPr>
      </w:pPr>
      <w:r>
        <w:rPr>
          <w:color w:val="000000"/>
          <w:szCs w:val="24"/>
        </w:rPr>
      </w:r>
    </w:p>
    <w:p>
      <w:pPr>
        <w:pStyle w:val="Normal"/>
        <w:spacing w:lineRule="auto" w:line="240" w:before="0" w:after="0"/>
        <w:jc w:val="both"/>
        <w:rPr>
          <w:b/>
          <w:b/>
          <w:szCs w:val="24"/>
        </w:rPr>
      </w:pPr>
      <w:r>
        <w:rPr>
          <w:b/>
          <w:szCs w:val="24"/>
        </w:rPr>
        <w:t>4- CONCLUSÃO</w:t>
      </w:r>
    </w:p>
    <w:p>
      <w:pPr>
        <w:pStyle w:val="Normal"/>
        <w:spacing w:lineRule="auto" w:line="240" w:before="0" w:after="0"/>
        <w:ind w:firstLine="708"/>
        <w:jc w:val="both"/>
        <w:rPr>
          <w:color w:val="000000"/>
          <w:szCs w:val="24"/>
        </w:rPr>
      </w:pPr>
      <w:r>
        <w:rPr>
          <w:color w:val="000000"/>
          <w:szCs w:val="24"/>
        </w:rPr>
      </w:r>
    </w:p>
    <w:p>
      <w:pPr>
        <w:pStyle w:val="Normal"/>
        <w:spacing w:lineRule="auto" w:line="240" w:before="0" w:after="0"/>
        <w:ind w:firstLine="567"/>
        <w:jc w:val="both"/>
        <w:rPr>
          <w:szCs w:val="24"/>
        </w:rPr>
      </w:pPr>
      <w:r>
        <w:rPr>
          <w:color w:val="000000"/>
          <w:szCs w:val="24"/>
        </w:rPr>
        <w:t>Em função da conversão alimentar aparente, recomenda-se 2% de arraçaomento para juvenis e jundia (</w:t>
      </w:r>
      <w:r>
        <w:rPr>
          <w:i/>
          <w:color w:val="000000"/>
          <w:szCs w:val="24"/>
        </w:rPr>
        <w:t>Rhamdia quelen</w:t>
      </w:r>
      <w:r>
        <w:rPr>
          <w:color w:val="000000"/>
          <w:szCs w:val="24"/>
        </w:rPr>
        <w:t>) independentemente do tipo de ração a ser utilizada superfície ou fundo.</w:t>
      </w:r>
    </w:p>
    <w:p>
      <w:pPr>
        <w:pStyle w:val="Ttulo1"/>
        <w:spacing w:before="0" w:after="0"/>
        <w:jc w:val="both"/>
        <w:rPr>
          <w:rFonts w:ascii="Times New Roman" w:hAnsi="Times New Roman" w:cs="Times New Roman"/>
          <w:caps/>
          <w:sz w:val="24"/>
          <w:szCs w:val="24"/>
        </w:rPr>
      </w:pPr>
      <w:r>
        <w:rPr>
          <w:rFonts w:cs="Times New Roman" w:ascii="Times New Roman" w:hAnsi="Times New Roman"/>
          <w:caps/>
          <w:sz w:val="24"/>
          <w:szCs w:val="24"/>
        </w:rPr>
      </w:r>
    </w:p>
    <w:p>
      <w:pPr>
        <w:pStyle w:val="Ttulo1"/>
        <w:spacing w:before="0" w:after="0"/>
        <w:jc w:val="both"/>
        <w:rPr>
          <w:rFonts w:ascii="Times New Roman" w:hAnsi="Times New Roman" w:cs="Times New Roman"/>
          <w:sz w:val="24"/>
          <w:szCs w:val="24"/>
        </w:rPr>
      </w:pPr>
      <w:r>
        <w:rPr>
          <w:rFonts w:cs="Times New Roman" w:ascii="Times New Roman" w:hAnsi="Times New Roman"/>
          <w:sz w:val="24"/>
          <w:szCs w:val="24"/>
        </w:rPr>
        <w:t>5- AGRADECIMENTOS</w:t>
      </w:r>
    </w:p>
    <w:p>
      <w:pPr>
        <w:pStyle w:val="Ttulo1"/>
        <w:spacing w:before="0" w:after="0"/>
        <w:jc w:val="both"/>
        <w:rPr>
          <w:rFonts w:ascii="Times New Roman" w:hAnsi="Times New Roman" w:cs="Times New Roman"/>
          <w:caps/>
          <w:sz w:val="24"/>
          <w:szCs w:val="24"/>
        </w:rPr>
      </w:pPr>
      <w:r>
        <w:rPr>
          <w:rFonts w:cs="Times New Roman" w:ascii="Times New Roman" w:hAnsi="Times New Roman"/>
          <w:caps/>
          <w:sz w:val="24"/>
          <w:szCs w:val="24"/>
        </w:rPr>
      </w:r>
    </w:p>
    <w:p>
      <w:pPr>
        <w:pStyle w:val="Normal"/>
        <w:spacing w:lineRule="auto" w:line="240" w:before="0" w:after="0"/>
        <w:ind w:firstLine="567"/>
        <w:jc w:val="both"/>
        <w:rPr>
          <w:color w:val="000000"/>
          <w:szCs w:val="24"/>
        </w:rPr>
      </w:pPr>
      <w:r>
        <w:rPr>
          <w:shd w:fill="FFFFFF" w:val="clear"/>
        </w:rPr>
        <w:t>Ao, Instituto Federal do Paraná, Conselho Nacional de Desenvolvimento Científico e Tecnológico/CNPq e Itaipu Binacional</w:t>
      </w:r>
      <w:bookmarkStart w:id="1" w:name="_Hlk489542230"/>
      <w:bookmarkEnd w:id="1"/>
      <w:r>
        <w:rPr>
          <w:color w:val="000000"/>
          <w:szCs w:val="24"/>
        </w:rPr>
        <w:t>.</w:t>
      </w:r>
    </w:p>
    <w:p>
      <w:pPr>
        <w:pStyle w:val="Normal"/>
        <w:spacing w:lineRule="auto" w:line="240" w:before="0" w:after="0"/>
        <w:ind w:firstLine="284"/>
        <w:jc w:val="both"/>
        <w:rPr>
          <w:szCs w:val="24"/>
          <w:lang w:eastAsia="pt-BR"/>
        </w:rPr>
      </w:pPr>
      <w:r>
        <w:rPr>
          <w:szCs w:val="24"/>
          <w:lang w:eastAsia="pt-BR"/>
        </w:rPr>
      </w:r>
    </w:p>
    <w:p>
      <w:pPr>
        <w:pStyle w:val="Ttulo1"/>
        <w:spacing w:before="0" w:after="0"/>
        <w:jc w:val="both"/>
        <w:rPr>
          <w:rFonts w:ascii="Times New Roman" w:hAnsi="Times New Roman" w:cs="Times New Roman"/>
          <w:sz w:val="24"/>
          <w:szCs w:val="24"/>
        </w:rPr>
      </w:pPr>
      <w:r>
        <w:rPr>
          <w:rFonts w:cs="Times New Roman" w:ascii="Times New Roman" w:hAnsi="Times New Roman"/>
          <w:sz w:val="24"/>
          <w:szCs w:val="24"/>
        </w:rPr>
        <w:t>6- REFERÊNCIA BIBLIOGRÁFICA</w:t>
      </w:r>
    </w:p>
    <w:p>
      <w:pPr>
        <w:pStyle w:val="Ttulo1"/>
        <w:spacing w:before="0" w:after="0"/>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Normal"/>
        <w:spacing w:lineRule="auto" w:line="240" w:before="0" w:after="0"/>
        <w:jc w:val="both"/>
        <w:rPr>
          <w:rFonts w:eastAsia="Calibri" w:eastAsiaTheme="minorHAnsi"/>
          <w:bCs/>
          <w:szCs w:val="24"/>
        </w:rPr>
      </w:pPr>
      <w:r>
        <w:rPr>
          <w:rFonts w:eastAsia="Calibri" w:eastAsiaTheme="minorHAnsi"/>
          <w:bCs/>
          <w:szCs w:val="24"/>
        </w:rPr>
        <w:t xml:space="preserve">ALEXANDRE, J. A.  </w:t>
      </w:r>
      <w:r>
        <w:rPr>
          <w:rFonts w:eastAsia="Calibri" w:eastAsiaTheme="minorHAnsi"/>
          <w:b/>
          <w:bCs/>
          <w:szCs w:val="24"/>
        </w:rPr>
        <w:t>Taxa de alimentação e freqüência alimentar para Surubins criados em tanque rede: desempenho Produtivo e digestibilidade de proteína</w:t>
      </w:r>
      <w:r>
        <w:rPr>
          <w:rFonts w:eastAsia="Calibri" w:eastAsiaTheme="minorHAnsi"/>
          <w:bCs/>
          <w:szCs w:val="24"/>
        </w:rPr>
        <w:t>. Dissertação apresentada ao Programa de Pós-graduação em Zootecnia BOTUCATU – SP. 2010.</w:t>
      </w:r>
    </w:p>
    <w:p>
      <w:pPr>
        <w:pStyle w:val="Normal"/>
        <w:spacing w:lineRule="auto" w:line="240" w:before="0" w:after="0"/>
        <w:jc w:val="both"/>
        <w:rPr>
          <w:szCs w:val="24"/>
          <w:lang w:val="en-US"/>
        </w:rPr>
      </w:pPr>
      <w:r>
        <w:rPr>
          <w:szCs w:val="24"/>
          <w:lang w:val="en-US"/>
        </w:rPr>
        <w:t xml:space="preserve">ASSOCIATION OF OFFICIAL ANALYTICAL CHEMISTRY – AOAC. </w:t>
      </w:r>
      <w:r>
        <w:rPr>
          <w:b/>
          <w:bCs/>
          <w:szCs w:val="24"/>
          <w:lang w:val="en-US"/>
        </w:rPr>
        <w:t xml:space="preserve">Official Methods of Analysis of the AOAC. </w:t>
      </w:r>
      <w:r>
        <w:rPr>
          <w:szCs w:val="24"/>
          <w:lang w:val="en-US"/>
        </w:rPr>
        <w:t>18.ed. Gaithersburg, M.D, USA, 2005.</w:t>
      </w:r>
    </w:p>
    <w:p>
      <w:pPr>
        <w:pStyle w:val="Normal"/>
        <w:spacing w:lineRule="auto" w:line="240" w:before="0" w:after="0"/>
        <w:jc w:val="both"/>
        <w:rPr>
          <w:szCs w:val="24"/>
        </w:rPr>
      </w:pPr>
      <w:r>
        <w:rPr>
          <w:szCs w:val="24"/>
        </w:rPr>
        <w:t xml:space="preserve">CARNEIRO, P.C.F.; MIKOS, J.D.; BENDHACK, F.; IGNÁCIO, S.S. Processamento do jundiá Rhamdia quelen: rendimento de carcaça. </w:t>
      </w:r>
      <w:r>
        <w:rPr>
          <w:b/>
          <w:szCs w:val="24"/>
        </w:rPr>
        <w:t>Revista Acadêmica: ciências agrárias e ambientais,</w:t>
      </w:r>
      <w:r>
        <w:rPr>
          <w:szCs w:val="24"/>
        </w:rPr>
        <w:t xml:space="preserve"> Curitiba, v.2, n.3, p. 11-17, jul./set. 2004.</w:t>
      </w:r>
    </w:p>
    <w:p>
      <w:pPr>
        <w:pStyle w:val="Normal"/>
        <w:spacing w:lineRule="auto" w:line="240" w:before="0" w:after="0"/>
        <w:jc w:val="both"/>
        <w:rPr>
          <w:szCs w:val="24"/>
        </w:rPr>
      </w:pPr>
      <w:r>
        <w:rPr>
          <w:szCs w:val="24"/>
        </w:rPr>
        <w:t xml:space="preserve">CARNEIRO, P.C.F.; MIKOS, J.D. Frequência alimentar e crescimento de alevinos de jundiá, </w:t>
      </w:r>
      <w:r>
        <w:rPr>
          <w:i/>
          <w:iCs/>
          <w:szCs w:val="24"/>
        </w:rPr>
        <w:t>Rhamdia quelen</w:t>
      </w:r>
      <w:r>
        <w:rPr>
          <w:szCs w:val="24"/>
        </w:rPr>
        <w:t xml:space="preserve">. </w:t>
      </w:r>
      <w:r>
        <w:rPr>
          <w:b/>
          <w:bCs/>
          <w:szCs w:val="24"/>
        </w:rPr>
        <w:t>Ciência Rural</w:t>
      </w:r>
      <w:r>
        <w:rPr>
          <w:szCs w:val="24"/>
        </w:rPr>
        <w:t>, Santa Maria, v. 35, n.1, p. 87-91, 2005.</w:t>
      </w:r>
    </w:p>
    <w:p>
      <w:pPr>
        <w:pStyle w:val="Normal"/>
        <w:spacing w:lineRule="auto" w:line="240" w:before="0" w:after="0"/>
        <w:jc w:val="both"/>
        <w:rPr>
          <w:color w:val="000000" w:themeColor="text1"/>
          <w:szCs w:val="24"/>
        </w:rPr>
      </w:pPr>
      <w:r>
        <w:rPr>
          <w:color w:val="000000" w:themeColor="text1"/>
          <w:szCs w:val="24"/>
          <w:lang w:val="en-US"/>
        </w:rPr>
        <w:t xml:space="preserve">COLLIER H. B, </w:t>
      </w:r>
      <w:r>
        <w:rPr>
          <w:bCs/>
          <w:color w:val="000000" w:themeColor="text1"/>
          <w:szCs w:val="24"/>
          <w:lang w:val="en-US"/>
        </w:rPr>
        <w:t>The standardization of blood haemoglobin determinations</w:t>
      </w:r>
      <w:r>
        <w:rPr>
          <w:color w:val="000000" w:themeColor="text1"/>
          <w:szCs w:val="24"/>
          <w:lang w:val="en-US"/>
        </w:rPr>
        <w:t xml:space="preserve">. </w:t>
      </w:r>
      <w:r>
        <w:rPr>
          <w:b/>
          <w:color w:val="000000" w:themeColor="text1"/>
          <w:szCs w:val="24"/>
        </w:rPr>
        <w:t>Can. Med</w:t>
      </w:r>
      <w:r>
        <w:rPr>
          <w:color w:val="000000" w:themeColor="text1"/>
          <w:szCs w:val="24"/>
        </w:rPr>
        <w:t>. Ass. J. 1944. 550-552.</w:t>
      </w:r>
    </w:p>
    <w:p>
      <w:pPr>
        <w:pStyle w:val="Normal"/>
        <w:spacing w:lineRule="auto" w:line="240" w:before="0" w:after="0"/>
        <w:jc w:val="both"/>
        <w:rPr>
          <w:szCs w:val="24"/>
          <w:lang w:val="en-US"/>
        </w:rPr>
      </w:pPr>
      <w:r>
        <w:rPr>
          <w:szCs w:val="24"/>
        </w:rPr>
        <w:t xml:space="preserve">CYRINO, J.E.P. </w:t>
      </w:r>
      <w:r>
        <w:rPr>
          <w:szCs w:val="24"/>
          <w:shd w:fill="FFFFFF" w:val="clear"/>
        </w:rPr>
        <w:t>CYRINO, J.E.P.;</w:t>
      </w:r>
      <w:r>
        <w:rPr>
          <w:color w:val="000000"/>
          <w:szCs w:val="24"/>
          <w:shd w:fill="FFFFFF" w:val="clear"/>
        </w:rPr>
        <w:t> </w:t>
      </w:r>
      <w:r>
        <w:rPr>
          <w:szCs w:val="24"/>
          <w:shd w:fill="FFFFFF" w:val="clear"/>
        </w:rPr>
        <w:t>PORTZ, L.;</w:t>
      </w:r>
      <w:r>
        <w:rPr>
          <w:color w:val="000000"/>
          <w:szCs w:val="24"/>
          <w:shd w:fill="FFFFFF" w:val="clear"/>
        </w:rPr>
        <w:t> </w:t>
      </w:r>
      <w:r>
        <w:rPr>
          <w:szCs w:val="24"/>
          <w:shd w:fill="FFFFFF" w:val="clear"/>
        </w:rPr>
        <w:t>MARTINO, R. C.</w:t>
      </w:r>
      <w:r>
        <w:rPr>
          <w:szCs w:val="24"/>
        </w:rPr>
        <w:t xml:space="preserve"> Retenção de proteína e energia em juvenis de “Black Bass” Micropterus Salmoides. </w:t>
      </w:r>
      <w:r>
        <w:rPr>
          <w:b/>
          <w:szCs w:val="24"/>
          <w:lang w:val="en-US"/>
        </w:rPr>
        <w:t>Scientia Agricola</w:t>
      </w:r>
      <w:r>
        <w:rPr>
          <w:szCs w:val="24"/>
          <w:lang w:val="en-US"/>
        </w:rPr>
        <w:t>, v.57, p.609-616, 2000.</w:t>
      </w:r>
    </w:p>
    <w:p>
      <w:pPr>
        <w:pStyle w:val="Normal"/>
        <w:spacing w:lineRule="auto" w:line="240" w:before="0" w:after="0"/>
        <w:jc w:val="both"/>
        <w:rPr>
          <w:szCs w:val="24"/>
          <w:lang w:val="en-US"/>
        </w:rPr>
      </w:pPr>
      <w:r>
        <w:rPr>
          <w:szCs w:val="24"/>
        </w:rPr>
        <w:t xml:space="preserve">DENG, D-F.; KOSHIO, S.; YOKOYAMA, S.; BAI, S.C.; SHAO, Q.; CUI, Y.; HUNG, S.S.O. </w:t>
      </w:r>
      <w:r>
        <w:rPr>
          <w:szCs w:val="24"/>
          <w:lang w:val="en-US"/>
        </w:rPr>
        <w:t>Effects of feeding rate on growth performance of white sturgeon (</w:t>
      </w:r>
      <w:r>
        <w:rPr>
          <w:i/>
          <w:iCs/>
          <w:szCs w:val="24"/>
          <w:lang w:val="en-US"/>
        </w:rPr>
        <w:t>Acipenser transmontanus</w:t>
      </w:r>
      <w:r>
        <w:rPr>
          <w:szCs w:val="24"/>
          <w:lang w:val="en-US"/>
        </w:rPr>
        <w:t xml:space="preserve">) larvae. </w:t>
      </w:r>
      <w:r>
        <w:rPr>
          <w:b/>
          <w:bCs/>
          <w:szCs w:val="24"/>
          <w:lang w:val="en-US"/>
        </w:rPr>
        <w:t>Aquaculture</w:t>
      </w:r>
      <w:r>
        <w:rPr>
          <w:szCs w:val="24"/>
          <w:lang w:val="en-US"/>
        </w:rPr>
        <w:t>, v.217, p.589-598, 2003.</w:t>
      </w:r>
    </w:p>
    <w:p>
      <w:pPr>
        <w:pStyle w:val="Normal"/>
        <w:spacing w:lineRule="auto" w:line="240" w:before="0" w:after="0"/>
        <w:jc w:val="both"/>
        <w:rPr>
          <w:szCs w:val="24"/>
        </w:rPr>
      </w:pPr>
      <w:r>
        <w:rPr>
          <w:rFonts w:eastAsia="TimesNewRomanPSMT"/>
          <w:szCs w:val="24"/>
          <w:lang w:val="en-US"/>
        </w:rPr>
        <w:t xml:space="preserve">DIETERICH, T.; </w:t>
      </w:r>
      <w:r>
        <w:rPr>
          <w:szCs w:val="24"/>
        </w:rPr>
        <w:t>POTRICH, F.R.; LORENZ, E.K.; SIGNOR, A.A.; FEIDEN, A.; BOSCOLO, W.R.</w:t>
      </w:r>
      <w:r>
        <w:rPr>
          <w:rFonts w:eastAsia="Calibri" w:eastAsiaTheme="minorHAnsi"/>
          <w:bCs/>
          <w:szCs w:val="24"/>
        </w:rPr>
        <w:t xml:space="preserve"> Parâmetros zootécnicos de juvenis de pacu alimentados a diferentes frequências de arraçoamento em tanques</w:t>
      </w:r>
      <w:r>
        <w:rPr>
          <w:rFonts w:eastAsia="MS Gothic"/>
          <w:bCs/>
          <w:szCs w:val="24"/>
        </w:rPr>
        <w:noBreakHyphen/>
      </w:r>
      <w:r>
        <w:rPr>
          <w:rFonts w:eastAsia="Calibri" w:eastAsiaTheme="minorHAnsi"/>
          <w:bCs/>
          <w:szCs w:val="24"/>
        </w:rPr>
        <w:t xml:space="preserve">rede. </w:t>
      </w:r>
      <w:r>
        <w:rPr>
          <w:rFonts w:eastAsia="TimesNewRomanPSMT"/>
          <w:b/>
          <w:szCs w:val="24"/>
        </w:rPr>
        <w:t>Pesquisa Agropecuária Brasileira,</w:t>
      </w:r>
      <w:r>
        <w:rPr>
          <w:rFonts w:eastAsia="TimesNewRomanPSMT"/>
          <w:szCs w:val="24"/>
        </w:rPr>
        <w:t xml:space="preserve"> Brasília, v.48, n.8, p.1043-1048, ago. 2013.</w:t>
      </w:r>
    </w:p>
    <w:p>
      <w:pPr>
        <w:pStyle w:val="RefernciasBibliogrficas"/>
        <w:rPr>
          <w:color w:val="231F20"/>
          <w:lang w:val="en-US"/>
        </w:rPr>
      </w:pPr>
      <w:r>
        <w:rPr>
          <w:color w:val="231F20"/>
          <w:lang w:val="en-US"/>
        </w:rPr>
        <w:t>EL-SAYED, A.F.M. Effects of stocking density and feeding levels on growth and feed efficiency of nile tilapia (</w:t>
      </w:r>
      <w:r>
        <w:rPr>
          <w:i/>
          <w:color w:val="231F20"/>
          <w:lang w:val="en-US"/>
        </w:rPr>
        <w:t xml:space="preserve">Oreochromis niloticus </w:t>
      </w:r>
      <w:r>
        <w:rPr>
          <w:color w:val="231F20"/>
          <w:lang w:val="en-US"/>
        </w:rPr>
        <w:t xml:space="preserve">L.) fry. </w:t>
      </w:r>
      <w:r>
        <w:rPr>
          <w:b/>
          <w:bCs/>
          <w:color w:val="231F20"/>
          <w:lang w:val="en-US"/>
        </w:rPr>
        <w:t>Aquaculture Research</w:t>
      </w:r>
      <w:r>
        <w:rPr>
          <w:color w:val="231F20"/>
          <w:lang w:val="en-US"/>
        </w:rPr>
        <w:t>, v.33, p.621-626, 2002.</w:t>
      </w:r>
    </w:p>
    <w:p>
      <w:pPr>
        <w:pStyle w:val="Normal"/>
        <w:spacing w:lineRule="auto" w:line="240" w:before="0" w:after="0"/>
        <w:jc w:val="both"/>
        <w:rPr>
          <w:rFonts w:eastAsia="Calibri" w:eastAsiaTheme="minorHAnsi"/>
          <w:szCs w:val="24"/>
          <w:lang w:val="en-US"/>
        </w:rPr>
      </w:pPr>
      <w:r>
        <w:rPr>
          <w:rFonts w:eastAsia="Calibri" w:eastAsiaTheme="minorHAnsi"/>
          <w:szCs w:val="24"/>
        </w:rPr>
        <w:t>EROLDOG</w:t>
      </w:r>
      <w:r>
        <w:rPr>
          <w:rFonts w:eastAsia="Calibri" w:eastAsiaTheme="minorHAnsi"/>
          <w:szCs w:val="24"/>
          <w:lang w:val="en-US"/>
        </w:rPr>
        <w:t xml:space="preserve">AN, O.T.; KUMLU, M.; AKTAS, M. Optimum feeding rates for European sea bass </w:t>
      </w:r>
      <w:r>
        <w:rPr>
          <w:rFonts w:eastAsia="Calibri" w:eastAsiaTheme="minorHAnsi"/>
          <w:b/>
          <w:bCs/>
          <w:i/>
          <w:iCs/>
          <w:szCs w:val="24"/>
          <w:lang w:val="en-US"/>
        </w:rPr>
        <w:t xml:space="preserve">Dicentrarchus labrax </w:t>
      </w:r>
      <w:r>
        <w:rPr>
          <w:rFonts w:eastAsia="Calibri" w:eastAsiaTheme="minorHAnsi"/>
          <w:szCs w:val="24"/>
          <w:lang w:val="en-US"/>
        </w:rPr>
        <w:t xml:space="preserve">L. reared in seawater and freshwater. </w:t>
      </w:r>
      <w:r>
        <w:rPr>
          <w:rFonts w:eastAsia="Calibri" w:eastAsiaTheme="minorHAnsi"/>
          <w:b/>
          <w:bCs/>
          <w:szCs w:val="24"/>
          <w:lang w:val="en-US"/>
        </w:rPr>
        <w:t>Aquaculture</w:t>
      </w:r>
      <w:r>
        <w:rPr>
          <w:rFonts w:eastAsia="Calibri" w:eastAsiaTheme="minorHAnsi"/>
          <w:szCs w:val="24"/>
          <w:lang w:val="en-US"/>
        </w:rPr>
        <w:t xml:space="preserve">, v.231, p.501-515, 2004. </w:t>
      </w:r>
    </w:p>
    <w:p>
      <w:pPr>
        <w:pStyle w:val="Normal"/>
        <w:widowControl w:val="false"/>
        <w:overflowPunct w:val="true"/>
        <w:spacing w:lineRule="auto" w:line="240" w:before="0" w:after="0"/>
        <w:jc w:val="both"/>
        <w:rPr>
          <w:szCs w:val="24"/>
          <w:lang w:val="en-US"/>
        </w:rPr>
      </w:pPr>
      <w:r>
        <w:rPr>
          <w:rFonts w:eastAsia="TimesNewRomanPSMT"/>
          <w:szCs w:val="24"/>
          <w:lang w:val="en-US"/>
        </w:rPr>
        <w:t xml:space="preserve">GOLDENFARB, P.B.; </w:t>
      </w:r>
      <w:r>
        <w:rPr>
          <w:szCs w:val="24"/>
          <w:shd w:fill="FFFFFF" w:val="clear"/>
        </w:rPr>
        <w:t>GOLDENFARB, P.B.</w:t>
      </w:r>
      <w:r>
        <w:rPr>
          <w:color w:val="000000"/>
          <w:szCs w:val="24"/>
          <w:shd w:fill="FFFFFF" w:val="clear"/>
        </w:rPr>
        <w:t>; </w:t>
      </w:r>
      <w:r>
        <w:rPr>
          <w:szCs w:val="24"/>
          <w:shd w:fill="FFFFFF" w:val="clear"/>
        </w:rPr>
        <w:t>BOWYER, F.P.;</w:t>
      </w:r>
      <w:r>
        <w:rPr>
          <w:color w:val="000000"/>
          <w:szCs w:val="24"/>
          <w:shd w:fill="FFFFFF" w:val="clear"/>
        </w:rPr>
        <w:t> </w:t>
      </w:r>
      <w:r>
        <w:rPr>
          <w:szCs w:val="24"/>
          <w:shd w:fill="FFFFFF" w:val="clear"/>
        </w:rPr>
        <w:t>HALL, E.;</w:t>
      </w:r>
      <w:r>
        <w:rPr>
          <w:color w:val="000000"/>
          <w:szCs w:val="24"/>
          <w:shd w:fill="FFFFFF" w:val="clear"/>
        </w:rPr>
        <w:t> </w:t>
      </w:r>
      <w:r>
        <w:rPr>
          <w:szCs w:val="24"/>
          <w:shd w:fill="FFFFFF" w:val="clear"/>
        </w:rPr>
        <w:t>BROSIOUS, E</w:t>
      </w:r>
      <w:r>
        <w:rPr>
          <w:color w:val="000000"/>
          <w:szCs w:val="24"/>
          <w:shd w:fill="FFFFFF" w:val="clear"/>
        </w:rPr>
        <w:t>.</w:t>
      </w:r>
      <w:r>
        <w:rPr>
          <w:rFonts w:eastAsia="TimesNewRomanPSMT"/>
          <w:szCs w:val="24"/>
          <w:lang w:val="en-US"/>
        </w:rPr>
        <w:t xml:space="preserve"> Reproducibility in the hematology laboratory: the microhematocrit determination. </w:t>
      </w:r>
      <w:r>
        <w:rPr>
          <w:rFonts w:eastAsia="TimesNewRomanPSMT"/>
          <w:b/>
          <w:bCs/>
          <w:szCs w:val="24"/>
          <w:lang w:val="en-US"/>
        </w:rPr>
        <w:t>American Journal of Clinical Pathology</w:t>
      </w:r>
      <w:r>
        <w:rPr>
          <w:rFonts w:eastAsia="TimesNewRomanPSMT"/>
          <w:szCs w:val="24"/>
          <w:lang w:val="en-US"/>
        </w:rPr>
        <w:t>, v.56, p.35</w:t>
      </w:r>
      <w:r>
        <w:rPr>
          <w:rFonts w:eastAsia="MS Gothic"/>
          <w:szCs w:val="24"/>
          <w:lang w:val="en-US"/>
        </w:rPr>
        <w:noBreakHyphen/>
      </w:r>
      <w:r>
        <w:rPr>
          <w:rFonts w:eastAsia="TimesNewRomanPSMT"/>
          <w:szCs w:val="24"/>
          <w:lang w:val="en-US"/>
        </w:rPr>
        <w:t>39, 1971.</w:t>
      </w:r>
    </w:p>
    <w:p>
      <w:pPr>
        <w:pStyle w:val="Normal"/>
        <w:widowControl w:val="false"/>
        <w:overflowPunct w:val="true"/>
        <w:spacing w:lineRule="auto" w:line="240" w:before="0" w:after="0"/>
        <w:jc w:val="both"/>
        <w:rPr>
          <w:szCs w:val="24"/>
          <w:lang w:val="en-US"/>
        </w:rPr>
      </w:pPr>
      <w:r>
        <w:rPr>
          <w:szCs w:val="24"/>
          <w:lang w:val="en-US"/>
        </w:rPr>
        <w:t xml:space="preserve">GOMES, L.C.; </w:t>
      </w:r>
      <w:r>
        <w:rPr>
          <w:bCs/>
          <w:color w:val="000000"/>
          <w:szCs w:val="24"/>
          <w:shd w:fill="FFFFFF" w:val="clear"/>
        </w:rPr>
        <w:t>  GOLOMBIESKI, J.I.; GOMES, A.R.C.; BERNARDO BALDISSEROTTO, B.</w:t>
      </w:r>
      <w:r>
        <w:rPr>
          <w:szCs w:val="24"/>
          <w:lang w:val="en-US"/>
        </w:rPr>
        <w:t xml:space="preserve"> </w:t>
      </w:r>
      <w:r>
        <w:rPr>
          <w:szCs w:val="24"/>
        </w:rPr>
        <w:t xml:space="preserve">Biologia do jundiá </w:t>
      </w:r>
      <w:r>
        <w:rPr>
          <w:i/>
          <w:iCs/>
          <w:szCs w:val="24"/>
        </w:rPr>
        <w:t>Rhamdia quelen</w:t>
      </w:r>
      <w:r>
        <w:rPr>
          <w:szCs w:val="24"/>
        </w:rPr>
        <w:t xml:space="preserve"> (Teleostei, Pimelodidae). </w:t>
      </w:r>
      <w:r>
        <w:rPr>
          <w:b/>
          <w:bCs/>
          <w:szCs w:val="24"/>
          <w:lang w:val="en-US"/>
        </w:rPr>
        <w:t>Ciência Rural</w:t>
      </w:r>
      <w:r>
        <w:rPr>
          <w:szCs w:val="24"/>
          <w:lang w:val="en-US"/>
        </w:rPr>
        <w:t xml:space="preserve">, Santa Maria, v.30, n.1, p.179-185, 2000. </w:t>
      </w:r>
    </w:p>
    <w:p>
      <w:pPr>
        <w:pStyle w:val="Normal"/>
        <w:widowControl w:val="false"/>
        <w:overflowPunct w:val="true"/>
        <w:spacing w:lineRule="auto" w:line="240" w:before="0" w:after="0"/>
        <w:jc w:val="both"/>
        <w:rPr>
          <w:szCs w:val="24"/>
          <w:lang w:val="en-US"/>
        </w:rPr>
      </w:pPr>
      <w:r>
        <w:rPr>
          <w:szCs w:val="24"/>
          <w:shd w:fill="FFFFFF" w:val="clear"/>
        </w:rPr>
        <w:t xml:space="preserve">GOMES, L.C.; </w:t>
      </w:r>
      <w:r>
        <w:rPr>
          <w:bCs/>
          <w:szCs w:val="24"/>
        </w:rPr>
        <w:t>CHIPPARI-GOMES, A.R.; LOPES, N.P.; ROUBACH, R.; ARAUJO-LIMA, C.A.R.M. E</w:t>
      </w:r>
      <w:r>
        <w:rPr>
          <w:color w:val="000000"/>
          <w:szCs w:val="24"/>
          <w:shd w:fill="FFFFFF" w:val="clear"/>
          <w:lang w:val="en-US"/>
        </w:rPr>
        <w:t>fficacy of benzocaine as an anesthetic in juvenile tambaqui</w:t>
      </w:r>
      <w:r>
        <w:rPr>
          <w:rStyle w:val="Appleconvertedspace"/>
          <w:color w:val="000000"/>
          <w:szCs w:val="24"/>
          <w:shd w:fill="FFFFFF" w:val="clear"/>
          <w:lang w:val="en-US"/>
        </w:rPr>
        <w:t> </w:t>
      </w:r>
      <w:r>
        <w:rPr>
          <w:i/>
          <w:iCs/>
          <w:color w:val="000000"/>
          <w:szCs w:val="24"/>
          <w:shd w:fill="FFFFFF" w:val="clear"/>
          <w:lang w:val="en-US"/>
        </w:rPr>
        <w:t>Colossoma macropomum</w:t>
      </w:r>
      <w:r>
        <w:rPr>
          <w:color w:val="000000"/>
          <w:szCs w:val="24"/>
          <w:shd w:fill="FFFFFF" w:val="clear"/>
          <w:lang w:val="en-US"/>
        </w:rPr>
        <w:t>.</w:t>
      </w:r>
      <w:r>
        <w:rPr>
          <w:rStyle w:val="Appleconvertedspace"/>
          <w:color w:val="000000"/>
          <w:szCs w:val="24"/>
          <w:shd w:fill="FFFFFF" w:val="clear"/>
          <w:lang w:val="en-US"/>
        </w:rPr>
        <w:t> </w:t>
      </w:r>
      <w:r>
        <w:rPr>
          <w:b/>
          <w:bCs/>
          <w:color w:val="000000"/>
          <w:szCs w:val="24"/>
          <w:shd w:fill="FFFFFF" w:val="clear"/>
          <w:lang w:val="en-US"/>
        </w:rPr>
        <w:t>Journal of the World Aquaculture Society</w:t>
      </w:r>
      <w:r>
        <w:rPr>
          <w:color w:val="000000"/>
          <w:szCs w:val="24"/>
          <w:shd w:fill="FFFFFF" w:val="clear"/>
          <w:lang w:val="en-US"/>
        </w:rPr>
        <w:t xml:space="preserve">, v.32, p.426-431, 2001. </w:t>
      </w:r>
    </w:p>
    <w:p>
      <w:pPr>
        <w:pStyle w:val="Normal"/>
        <w:spacing w:lineRule="auto" w:line="240" w:before="0" w:after="0"/>
        <w:jc w:val="both"/>
        <w:rPr>
          <w:szCs w:val="24"/>
        </w:rPr>
      </w:pPr>
      <w:r>
        <w:rPr>
          <w:szCs w:val="24"/>
          <w:lang w:val="en-US"/>
        </w:rPr>
        <w:t xml:space="preserve">HIDALGO, F.; </w:t>
      </w:r>
      <w:bookmarkStart w:id="2" w:name="baep-author-id2"/>
      <w:r>
        <w:rPr>
          <w:rStyle w:val="Text"/>
          <w:szCs w:val="24"/>
        </w:rPr>
        <w:t>ALLIOT</w:t>
      </w:r>
      <w:r>
        <w:rPr>
          <w:rStyle w:val="Authorref"/>
          <w:szCs w:val="24"/>
          <w:vertAlign w:val="superscript"/>
        </w:rPr>
        <w:t xml:space="preserve">, </w:t>
      </w:r>
      <w:r>
        <w:rPr>
          <w:rStyle w:val="Sronly"/>
          <w:szCs w:val="24"/>
        </w:rPr>
        <w:t>E.</w:t>
      </w:r>
      <w:bookmarkStart w:id="3" w:name="baep-author-id3"/>
      <w:bookmarkEnd w:id="2"/>
      <w:r>
        <w:rPr>
          <w:rStyle w:val="Sronly"/>
          <w:szCs w:val="24"/>
        </w:rPr>
        <w:t xml:space="preserve">; </w:t>
      </w:r>
      <w:r>
        <w:rPr>
          <w:rStyle w:val="Text"/>
          <w:szCs w:val="24"/>
        </w:rPr>
        <w:t>THEBAULT, H.</w:t>
      </w:r>
      <w:bookmarkEnd w:id="3"/>
      <w:r>
        <w:rPr>
          <w:szCs w:val="24"/>
          <w:lang w:val="en-US"/>
        </w:rPr>
        <w:t xml:space="preserve"> Influence of water temperature on food intake, food efficiency and Gross composition of juvenile sea bass, </w:t>
      </w:r>
      <w:r>
        <w:rPr>
          <w:i/>
          <w:iCs/>
          <w:szCs w:val="24"/>
          <w:lang w:val="en-US"/>
        </w:rPr>
        <w:t>Dicentrarchus labrax</w:t>
      </w:r>
      <w:r>
        <w:rPr>
          <w:szCs w:val="24"/>
          <w:lang w:val="en-US"/>
        </w:rPr>
        <w:t xml:space="preserve">. </w:t>
      </w:r>
      <w:r>
        <w:rPr>
          <w:b/>
          <w:bCs/>
          <w:szCs w:val="24"/>
        </w:rPr>
        <w:t>Aquaculture</w:t>
      </w:r>
      <w:r>
        <w:rPr>
          <w:szCs w:val="24"/>
        </w:rPr>
        <w:t>, v.64, p.199-207, 1987.</w:t>
      </w:r>
    </w:p>
    <w:p>
      <w:pPr>
        <w:pStyle w:val="Normal"/>
        <w:spacing w:lineRule="auto" w:line="240" w:before="0" w:after="0"/>
        <w:jc w:val="both"/>
        <w:rPr>
          <w:bCs/>
          <w:szCs w:val="24"/>
        </w:rPr>
      </w:pPr>
      <w:r>
        <w:rPr>
          <w:bCs/>
          <w:szCs w:val="24"/>
          <w:lang w:val="en-US"/>
        </w:rPr>
        <w:t xml:space="preserve">HILBIG, C.C. Feeding rate for pacu reared in net cages. </w:t>
      </w:r>
      <w:r>
        <w:rPr>
          <w:b/>
          <w:bCs/>
          <w:szCs w:val="24"/>
        </w:rPr>
        <w:t>Revista Brasileira de Zootecnia</w:t>
      </w:r>
      <w:r>
        <w:rPr>
          <w:bCs/>
          <w:szCs w:val="24"/>
        </w:rPr>
        <w:t>, v.41, p.1570</w:t>
      </w:r>
      <w:r>
        <w:rPr>
          <w:rFonts w:eastAsia="MS Gothic"/>
          <w:bCs/>
          <w:szCs w:val="24"/>
        </w:rPr>
        <w:noBreakHyphen/>
      </w:r>
      <w:r>
        <w:rPr>
          <w:bCs/>
          <w:szCs w:val="24"/>
        </w:rPr>
        <w:t>1575, 2012.</w:t>
      </w:r>
    </w:p>
    <w:p>
      <w:pPr>
        <w:pStyle w:val="RefernciasBibliogrficas"/>
        <w:rPr/>
      </w:pPr>
      <w:r>
        <w:rPr>
          <w:color w:val="231F20"/>
          <w:lang w:val="en-US"/>
        </w:rPr>
        <w:t xml:space="preserve">IGUCHI, K.; </w:t>
      </w:r>
      <w:r>
        <w:fldChar w:fldCharType="begin"/>
      </w:r>
      <w:r>
        <w:instrText> HYPERLINK "http://www.sciencedirect.com/science/article/pii/S0044848602006269" \l "!"</w:instrText>
      </w:r>
      <w:r>
        <w:fldChar w:fldCharType="separate"/>
      </w:r>
      <w:bookmarkStart w:id="4" w:name="baep-author-id7"/>
      <w:r>
        <w:rPr>
          <w:rStyle w:val="Text"/>
        </w:rPr>
        <w:t xml:space="preserve">OGAWA, K.; </w:t>
      </w:r>
      <w:r>
        <w:fldChar w:fldCharType="end"/>
      </w:r>
      <w:bookmarkStart w:id="5" w:name="baep-author-id8"/>
      <w:bookmarkEnd w:id="4"/>
      <w:r>
        <w:rPr>
          <w:rStyle w:val="Text"/>
        </w:rPr>
        <w:t xml:space="preserve">MASAKINAGAE, M.; </w:t>
      </w:r>
      <w:r>
        <w:fldChar w:fldCharType="begin"/>
      </w:r>
      <w:r>
        <w:instrText> HYPERLINK "http://www.sciencedirect.com/science/article/pii/S0044848602006269" \l "!"</w:instrText>
      </w:r>
      <w:r>
        <w:fldChar w:fldCharType="separate"/>
      </w:r>
      <w:bookmarkStart w:id="6" w:name="baep-author-id9"/>
      <w:bookmarkEnd w:id="5"/>
      <w:r>
        <w:rPr>
          <w:rStyle w:val="Text"/>
        </w:rPr>
        <w:t xml:space="preserve"> ITO, F. </w:t>
      </w:r>
      <w:r>
        <w:fldChar w:fldCharType="end"/>
      </w:r>
      <w:bookmarkEnd w:id="6"/>
      <w:r>
        <w:rPr>
          <w:color w:val="231F20"/>
          <w:lang w:val="en-US"/>
        </w:rPr>
        <w:t>The influence of rearing density on stress response and disease susceptibility of ayu (</w:t>
      </w:r>
      <w:r>
        <w:rPr>
          <w:i/>
          <w:color w:val="231F20"/>
          <w:lang w:val="en-US"/>
        </w:rPr>
        <w:t>Plecoglossus altivelis</w:t>
      </w:r>
      <w:r>
        <w:rPr>
          <w:color w:val="231F20"/>
          <w:lang w:val="en-US"/>
        </w:rPr>
        <w:t xml:space="preserve">). </w:t>
      </w:r>
      <w:r>
        <w:rPr>
          <w:b/>
          <w:bCs/>
          <w:color w:val="231F20"/>
        </w:rPr>
        <w:t>Aquaculture</w:t>
      </w:r>
      <w:r>
        <w:rPr>
          <w:color w:val="231F20"/>
        </w:rPr>
        <w:t>, v.202, p.515-523, 2003.</w:t>
      </w:r>
    </w:p>
    <w:p>
      <w:pPr>
        <w:pStyle w:val="Normal"/>
        <w:spacing w:lineRule="auto" w:line="240" w:before="0" w:after="0"/>
        <w:jc w:val="both"/>
        <w:rPr>
          <w:szCs w:val="24"/>
          <w:lang w:val="en-US"/>
        </w:rPr>
      </w:pPr>
      <w:r>
        <w:rPr>
          <w:szCs w:val="24"/>
          <w:lang w:val="en-US"/>
        </w:rPr>
        <w:t xml:space="preserve">JOBLING, M. </w:t>
      </w:r>
      <w:r>
        <w:rPr>
          <w:b/>
          <w:szCs w:val="24"/>
          <w:lang w:val="en-US"/>
        </w:rPr>
        <w:t>Environmental biology of fish</w:t>
      </w:r>
      <w:r>
        <w:rPr>
          <w:szCs w:val="24"/>
          <w:lang w:val="en-US"/>
        </w:rPr>
        <w:t>. 1 ed. London: Chapman &amp; Hall, 1995. 455p.</w:t>
      </w:r>
    </w:p>
    <w:p>
      <w:pPr>
        <w:pStyle w:val="Normal"/>
        <w:widowControl w:val="false"/>
        <w:overflowPunct w:val="true"/>
        <w:spacing w:lineRule="auto" w:line="240" w:before="0" w:after="0"/>
        <w:jc w:val="both"/>
        <w:rPr>
          <w:szCs w:val="24"/>
        </w:rPr>
      </w:pPr>
      <w:r>
        <w:rPr>
          <w:szCs w:val="24"/>
        </w:rPr>
        <w:t xml:space="preserve">KUBITZA, F. Qualidade do alimento, qualidade da água e manejo alimentar na produção de peixes. </w:t>
      </w:r>
      <w:r>
        <w:rPr>
          <w:b/>
          <w:bCs/>
          <w:szCs w:val="24"/>
        </w:rPr>
        <w:t>Anais...</w:t>
      </w:r>
      <w:r>
        <w:rPr>
          <w:szCs w:val="24"/>
        </w:rPr>
        <w:t xml:space="preserve"> In: SIMPÓSIO SOBRE MANEJO E NUTRIÇÃO DE PEIXES. Piracicaba: CBNA, p. 63-101, 1997.</w:t>
      </w:r>
    </w:p>
    <w:p>
      <w:pPr>
        <w:pStyle w:val="Normal"/>
        <w:spacing w:lineRule="auto" w:line="240" w:before="0" w:after="0"/>
        <w:jc w:val="both"/>
        <w:rPr>
          <w:szCs w:val="24"/>
          <w:lang w:val="en-US"/>
        </w:rPr>
      </w:pPr>
      <w:r>
        <w:rPr>
          <w:szCs w:val="24"/>
          <w:lang w:val="en-US"/>
        </w:rPr>
        <w:t xml:space="preserve">MARQUES, N.R.; </w:t>
      </w:r>
      <w:r>
        <w:rPr>
          <w:szCs w:val="24"/>
        </w:rPr>
        <w:t>HAYASHI, C.; SOUZA, S.r.; SOARES, T. Efeito de diferentes níveis de arraçoamento para alevinos de carpa-capim (</w:t>
      </w:r>
      <w:r>
        <w:rPr>
          <w:i/>
          <w:iCs/>
          <w:szCs w:val="24"/>
        </w:rPr>
        <w:t>Ctenopharyngodon idella</w:t>
      </w:r>
      <w:r>
        <w:rPr>
          <w:szCs w:val="24"/>
        </w:rPr>
        <w:t xml:space="preserve">) em condições experimentais. </w:t>
      </w:r>
      <w:r>
        <w:rPr>
          <w:b/>
          <w:bCs/>
          <w:szCs w:val="24"/>
          <w:lang w:val="en-US"/>
        </w:rPr>
        <w:t>Boletim do Instituto de Pesca</w:t>
      </w:r>
      <w:r>
        <w:rPr>
          <w:szCs w:val="24"/>
          <w:lang w:val="en-US"/>
        </w:rPr>
        <w:t>, v.30, n.1, p.51-56, 2004.</w:t>
      </w:r>
    </w:p>
    <w:p>
      <w:pPr>
        <w:pStyle w:val="Normal"/>
        <w:spacing w:lineRule="auto" w:line="240" w:before="0" w:after="0"/>
        <w:jc w:val="both"/>
        <w:rPr>
          <w:rFonts w:eastAsia="Calibri" w:eastAsiaTheme="minorHAnsi"/>
          <w:bCs/>
          <w:szCs w:val="24"/>
        </w:rPr>
      </w:pPr>
      <w:r>
        <w:rPr>
          <w:rFonts w:eastAsia="Calibri" w:eastAsiaTheme="minorHAnsi"/>
          <w:szCs w:val="24"/>
        </w:rPr>
        <w:t xml:space="preserve">MEURER, F.; </w:t>
      </w:r>
      <w:r>
        <w:rPr>
          <w:szCs w:val="24"/>
        </w:rPr>
        <w:t xml:space="preserve">BOSCOLO, W.R.; LACERDA, C.H.F.; KAVATA, L.C.B. </w:t>
      </w:r>
      <w:r>
        <w:rPr>
          <w:rFonts w:eastAsia="Calibri" w:eastAsiaTheme="minorHAnsi"/>
          <w:szCs w:val="24"/>
        </w:rPr>
        <w:t>Nível de Arraçoamento para Alevinos de Lambari-do-Rabo-Amarelo (</w:t>
      </w:r>
      <w:r>
        <w:rPr>
          <w:rFonts w:eastAsia="Calibri" w:eastAsiaTheme="minorHAnsi"/>
          <w:i/>
          <w:iCs/>
          <w:szCs w:val="24"/>
        </w:rPr>
        <w:t>Astyanax bimaculatus</w:t>
      </w:r>
      <w:r>
        <w:rPr>
          <w:rFonts w:eastAsia="Calibri" w:eastAsiaTheme="minorHAnsi"/>
          <w:szCs w:val="24"/>
        </w:rPr>
        <w:t xml:space="preserve">). </w:t>
      </w:r>
      <w:r>
        <w:rPr>
          <w:rFonts w:eastAsia="Calibri" w:eastAsiaTheme="minorHAnsi"/>
          <w:b/>
          <w:bCs/>
          <w:szCs w:val="24"/>
        </w:rPr>
        <w:t>Revista Brasileira de Zootecnia</w:t>
      </w:r>
      <w:r>
        <w:rPr>
          <w:rFonts w:eastAsia="Calibri" w:eastAsiaTheme="minorHAnsi"/>
          <w:bCs/>
          <w:szCs w:val="24"/>
        </w:rPr>
        <w:t>, v.34, n.6, p.1835-1840, 2005.</w:t>
      </w:r>
    </w:p>
    <w:p>
      <w:pPr>
        <w:pStyle w:val="Normal"/>
        <w:spacing w:lineRule="auto" w:line="240" w:before="0" w:after="0"/>
        <w:jc w:val="both"/>
        <w:rPr>
          <w:rFonts w:eastAsia="Calibri" w:eastAsiaTheme="minorHAnsi"/>
          <w:szCs w:val="24"/>
          <w:lang w:val="en-US"/>
        </w:rPr>
      </w:pPr>
      <w:r>
        <w:rPr>
          <w:rFonts w:eastAsia="Calibri" w:eastAsiaTheme="minorHAnsi"/>
          <w:szCs w:val="24"/>
          <w:lang w:val="en-US"/>
        </w:rPr>
        <w:t xml:space="preserve">MIHELAKAKIS, A.; </w:t>
      </w:r>
      <w:r>
        <w:rPr>
          <w:bCs/>
          <w:szCs w:val="24"/>
        </w:rPr>
        <w:t xml:space="preserve">CTSOLKAS, C.; YOSHIMATSU, T. </w:t>
      </w:r>
      <w:r>
        <w:rPr>
          <w:rFonts w:eastAsia="Calibri" w:eastAsiaTheme="minorHAnsi"/>
          <w:szCs w:val="24"/>
          <w:lang w:val="en-US"/>
        </w:rPr>
        <w:t xml:space="preserve">Optimization of feeding rate of hatchery-produced juvenile gilthead sea bream </w:t>
      </w:r>
      <w:r>
        <w:rPr>
          <w:rFonts w:eastAsia="Calibri" w:eastAsiaTheme="minorHAnsi"/>
          <w:b/>
          <w:bCs/>
          <w:i/>
          <w:iCs/>
          <w:szCs w:val="24"/>
          <w:lang w:val="en-US"/>
        </w:rPr>
        <w:t>Sparus aurata</w:t>
      </w:r>
      <w:r>
        <w:rPr>
          <w:rFonts w:eastAsia="Calibri" w:eastAsiaTheme="minorHAnsi"/>
          <w:szCs w:val="24"/>
          <w:lang w:val="en-US"/>
        </w:rPr>
        <w:t xml:space="preserve">. </w:t>
      </w:r>
      <w:r>
        <w:rPr>
          <w:rFonts w:eastAsia="Calibri" w:eastAsiaTheme="minorHAnsi"/>
          <w:b/>
          <w:bCs/>
          <w:szCs w:val="24"/>
          <w:lang w:val="en-US"/>
        </w:rPr>
        <w:t>Journal of the World Aquaculture Society</w:t>
      </w:r>
      <w:r>
        <w:rPr>
          <w:rFonts w:eastAsia="Calibri" w:eastAsiaTheme="minorHAnsi"/>
          <w:szCs w:val="24"/>
          <w:lang w:val="en-US"/>
        </w:rPr>
        <w:t>, v.33, p.169- 175, 2002.</w:t>
      </w:r>
    </w:p>
    <w:p>
      <w:pPr>
        <w:pStyle w:val="Normal"/>
        <w:spacing w:lineRule="auto" w:line="240" w:before="0" w:after="0"/>
        <w:jc w:val="both"/>
        <w:rPr>
          <w:szCs w:val="24"/>
        </w:rPr>
      </w:pPr>
      <w:r>
        <w:rPr>
          <w:szCs w:val="24"/>
        </w:rPr>
        <w:t>NAVARRO, R. D.; SILVA, R.F.; FILHO, O.P.R; CALADO, L.L.; REZENDE, F.P.; SILVA, C.S.; SANTOS, L.C. Comparação morfométrica e índices somáticos de machos e fêmeas do lambari prata (</w:t>
      </w:r>
      <w:r>
        <w:rPr>
          <w:i/>
          <w:szCs w:val="24"/>
        </w:rPr>
        <w:t>Astayanax scabripinnis Jerenyns</w:t>
      </w:r>
      <w:r>
        <w:rPr>
          <w:szCs w:val="24"/>
        </w:rPr>
        <w:t xml:space="preserve">, 1842) em diferente sistema de cultivo. </w:t>
      </w:r>
      <w:r>
        <w:rPr>
          <w:b/>
          <w:szCs w:val="24"/>
        </w:rPr>
        <w:t>Zootecnia Tropical</w:t>
      </w:r>
      <w:r>
        <w:rPr>
          <w:szCs w:val="24"/>
        </w:rPr>
        <w:t>, v.24, p.22-33, 2006.</w:t>
      </w:r>
    </w:p>
    <w:p>
      <w:pPr>
        <w:pStyle w:val="Normal"/>
        <w:spacing w:lineRule="auto" w:line="240" w:before="0" w:after="0"/>
        <w:jc w:val="both"/>
        <w:rPr>
          <w:bCs/>
          <w:szCs w:val="24"/>
          <w:lang w:val="en-US"/>
        </w:rPr>
      </w:pPr>
      <w:r>
        <w:rPr>
          <w:bCs/>
          <w:szCs w:val="24"/>
          <w:lang w:val="en-US"/>
        </w:rPr>
        <w:t xml:space="preserve">NG, W.K.; </w:t>
      </w:r>
      <w:r>
        <w:rPr>
          <w:rFonts w:eastAsia="Times New Roman"/>
          <w:color w:val="333333"/>
          <w:szCs w:val="24"/>
          <w:lang w:eastAsia="pt-BR"/>
        </w:rPr>
        <w:t xml:space="preserve">KIM-SUN LU, K-S.; HASHIM, R.; ALI, R. </w:t>
      </w:r>
      <w:r>
        <w:rPr>
          <w:bCs/>
          <w:szCs w:val="24"/>
          <w:lang w:val="en-US"/>
        </w:rPr>
        <w:t xml:space="preserve"> Effctes of feeding rate on growth, feed utilization and body composition of a tropical bagrid catfish. </w:t>
      </w:r>
      <w:r>
        <w:rPr>
          <w:b/>
          <w:bCs/>
          <w:szCs w:val="24"/>
          <w:lang w:val="en-US"/>
        </w:rPr>
        <w:t>Aquaculture International</w:t>
      </w:r>
      <w:r>
        <w:rPr>
          <w:bCs/>
          <w:szCs w:val="24"/>
          <w:lang w:val="en-US"/>
        </w:rPr>
        <w:t>, v.8, p.19-29, 2000.</w:t>
      </w:r>
    </w:p>
    <w:p>
      <w:pPr>
        <w:pStyle w:val="Normal"/>
        <w:spacing w:lineRule="auto" w:line="240" w:before="0" w:after="0"/>
        <w:jc w:val="both"/>
        <w:rPr>
          <w:szCs w:val="24"/>
        </w:rPr>
      </w:pPr>
      <w:r>
        <w:rPr>
          <w:szCs w:val="24"/>
        </w:rPr>
        <w:t xml:space="preserve">PEDRON, F.; </w:t>
      </w:r>
      <w:r>
        <w:rPr>
          <w:bCs/>
          <w:color w:val="000000"/>
          <w:szCs w:val="24"/>
          <w:shd w:fill="FFFFFF" w:val="clear"/>
        </w:rPr>
        <w:t>NETO, J.R.; EMANUELLI, T.; SILVA, L.P.; LAZZARI, R.; CORRÊIA, V.; BERGAMIN, G.T.; VEIVERBERG, K.A.</w:t>
      </w:r>
      <w:r>
        <w:rPr>
          <w:b/>
          <w:bCs/>
          <w:color w:val="000000"/>
          <w:szCs w:val="24"/>
          <w:shd w:fill="FFFFFF" w:val="clear"/>
        </w:rPr>
        <w:t xml:space="preserve"> </w:t>
      </w:r>
      <w:r>
        <w:rPr>
          <w:szCs w:val="24"/>
        </w:rPr>
        <w:t>Cultivo de jundiás alimentados com dietas com casca de soja ou de algodão</w:t>
      </w:r>
      <w:r>
        <w:rPr>
          <w:b/>
          <w:szCs w:val="24"/>
        </w:rPr>
        <w:t>. Pesquisa Agropecuária Brasileira</w:t>
      </w:r>
      <w:r>
        <w:rPr>
          <w:szCs w:val="24"/>
        </w:rPr>
        <w:t>, Brasília, v.43, n.1, p.93-98, jan. 2008</w:t>
      </w:r>
    </w:p>
    <w:p>
      <w:pPr>
        <w:pStyle w:val="Normal"/>
        <w:spacing w:lineRule="auto" w:line="240" w:before="0" w:after="0"/>
        <w:jc w:val="both"/>
        <w:rPr>
          <w:rFonts w:eastAsia="Calibri" w:eastAsiaTheme="minorHAnsi"/>
          <w:bCs/>
          <w:color w:val="231F20"/>
          <w:szCs w:val="24"/>
        </w:rPr>
      </w:pPr>
      <w:r>
        <w:rPr>
          <w:rFonts w:eastAsia="Calibri" w:eastAsiaTheme="minorHAnsi"/>
          <w:bCs/>
          <w:color w:val="231F20"/>
          <w:szCs w:val="24"/>
        </w:rPr>
        <w:t xml:space="preserve">SALARO, A.; </w:t>
      </w:r>
      <w:r>
        <w:rPr>
          <w:bCs/>
          <w:szCs w:val="24"/>
          <w:shd w:fill="FFFFFF" w:val="clear"/>
        </w:rPr>
        <w:t>LUZ, R.K.; SAKABE, R.; KASAI, R.Y.D.; LAMBERTUCCI, D.M.</w:t>
      </w:r>
      <w:r>
        <w:rPr>
          <w:rFonts w:eastAsia="Calibri" w:eastAsiaTheme="minorHAnsi"/>
          <w:bCs/>
          <w:szCs w:val="24"/>
        </w:rPr>
        <w:t xml:space="preserve"> </w:t>
      </w:r>
      <w:r>
        <w:rPr>
          <w:rFonts w:eastAsia="Calibri" w:eastAsiaTheme="minorHAnsi"/>
          <w:bCs/>
          <w:color w:val="231F20"/>
          <w:szCs w:val="24"/>
        </w:rPr>
        <w:t>Níveis de arraçoamento para juvenis de trairão (</w:t>
      </w:r>
      <w:r>
        <w:rPr>
          <w:rFonts w:eastAsia="Calibri" w:eastAsiaTheme="minorHAnsi"/>
          <w:bCs/>
          <w:i/>
          <w:iCs/>
          <w:color w:val="231F20"/>
          <w:szCs w:val="24"/>
        </w:rPr>
        <w:t>Hoplias lacerdae</w:t>
      </w:r>
      <w:r>
        <w:rPr>
          <w:rFonts w:eastAsia="Calibri" w:eastAsiaTheme="minorHAnsi"/>
          <w:bCs/>
          <w:color w:val="231F20"/>
          <w:szCs w:val="24"/>
        </w:rPr>
        <w:t xml:space="preserve">).  </w:t>
      </w:r>
      <w:r>
        <w:rPr>
          <w:b/>
          <w:bCs/>
          <w:szCs w:val="24"/>
        </w:rPr>
        <w:t>Revista Brasileira de Zootecnia</w:t>
      </w:r>
      <w:r>
        <w:rPr>
          <w:rFonts w:eastAsia="Calibri" w:eastAsiaTheme="minorHAnsi"/>
          <w:bCs/>
          <w:color w:val="231F20"/>
          <w:szCs w:val="24"/>
        </w:rPr>
        <w:t>, v.37, n.6, p.967-970, 2008</w:t>
      </w:r>
    </w:p>
    <w:p>
      <w:pPr>
        <w:pStyle w:val="RefernciasBibliogrficas"/>
        <w:rPr>
          <w:bCs/>
        </w:rPr>
      </w:pPr>
      <w:r>
        <w:rPr>
          <w:lang w:val="en-US"/>
        </w:rPr>
        <w:t xml:space="preserve">SALARO, A.L.; </w:t>
      </w:r>
      <w:r>
        <w:rPr>
          <w:bCs/>
          <w:color w:val="000000"/>
          <w:shd w:fill="FFFFFF" w:val="clear"/>
        </w:rPr>
        <w:t>LUZ, R.K.; NOGUEIRA, G.C.C.B.; ALEX REIS, A.; SAKABE, R.; LAMBERTUCCI, D.M.</w:t>
      </w:r>
      <w:r>
        <w:rPr>
          <w:b/>
          <w:bCs/>
          <w:color w:val="000000"/>
          <w:shd w:fill="FFFFFF" w:val="clear"/>
        </w:rPr>
        <w:t xml:space="preserve"> </w:t>
      </w:r>
      <w:r>
        <w:rPr>
          <w:bCs/>
        </w:rPr>
        <w:t xml:space="preserve">Diferentes densidades de estocagem na produção de alevinos de trairão </w:t>
      </w:r>
      <w:r>
        <w:rPr>
          <w:bCs/>
          <w:i/>
        </w:rPr>
        <w:t xml:space="preserve">(Hoplias </w:t>
      </w:r>
      <w:r>
        <w:rPr>
          <w:bCs/>
        </w:rPr>
        <w:t>cf.</w:t>
      </w:r>
      <w:r>
        <w:rPr>
          <w:bCs/>
          <w:i/>
        </w:rPr>
        <w:t xml:space="preserve"> lacerdae)</w:t>
      </w:r>
      <w:r>
        <w:rPr>
          <w:bCs/>
        </w:rPr>
        <w:t>.</w:t>
      </w:r>
      <w:r>
        <w:rPr>
          <w:b/>
          <w:bCs/>
        </w:rPr>
        <w:t xml:space="preserve"> Revista Brasileira de Zootecnia, </w:t>
      </w:r>
      <w:r>
        <w:rPr>
          <w:bCs/>
        </w:rPr>
        <w:t>v.32, n.5, p.1033-1036, 2003.</w:t>
      </w:r>
    </w:p>
    <w:p>
      <w:pPr>
        <w:pStyle w:val="Normal"/>
        <w:spacing w:lineRule="auto" w:line="240" w:before="0" w:after="0"/>
        <w:jc w:val="both"/>
        <w:rPr>
          <w:szCs w:val="24"/>
          <w:lang w:val="en-US"/>
        </w:rPr>
      </w:pPr>
      <w:r>
        <w:rPr>
          <w:szCs w:val="24"/>
        </w:rPr>
        <w:t xml:space="preserve">SANTIAGO, C.B.; </w:t>
      </w:r>
      <w:r>
        <w:rPr>
          <w:rStyle w:val="Text"/>
          <w:szCs w:val="24"/>
        </w:rPr>
        <w:t>ALDABA</w:t>
      </w:r>
      <w:r>
        <w:rPr>
          <w:szCs w:val="24"/>
        </w:rPr>
        <w:t xml:space="preserve">, M.B.; </w:t>
      </w:r>
      <w:r>
        <w:rPr>
          <w:rStyle w:val="Text"/>
          <w:szCs w:val="24"/>
        </w:rPr>
        <w:t>REYES</w:t>
      </w:r>
      <w:r>
        <w:rPr>
          <w:szCs w:val="24"/>
        </w:rPr>
        <w:t xml:space="preserve">, O.S.  </w:t>
      </w:r>
      <w:r>
        <w:rPr>
          <w:szCs w:val="24"/>
          <w:lang w:val="en-US"/>
        </w:rPr>
        <w:t>Influence of feeding rate and diet from on growth and survival of Nile tilapia (</w:t>
      </w:r>
      <w:r>
        <w:rPr>
          <w:i/>
          <w:iCs/>
          <w:szCs w:val="24"/>
          <w:lang w:val="en-US"/>
        </w:rPr>
        <w:t>Oreochromis niloticus</w:t>
      </w:r>
      <w:r>
        <w:rPr>
          <w:szCs w:val="24"/>
          <w:lang w:val="en-US"/>
        </w:rPr>
        <w:t xml:space="preserve">) fry. </w:t>
      </w:r>
      <w:r>
        <w:rPr>
          <w:b/>
          <w:bCs/>
          <w:szCs w:val="24"/>
          <w:lang w:val="en-US"/>
        </w:rPr>
        <w:t>Aquaculture</w:t>
      </w:r>
      <w:r>
        <w:rPr>
          <w:szCs w:val="24"/>
          <w:lang w:val="en-US"/>
        </w:rPr>
        <w:t>, v.64, p.277-282, 1987.</w:t>
      </w:r>
    </w:p>
    <w:p>
      <w:pPr>
        <w:pStyle w:val="Normal"/>
        <w:spacing w:lineRule="auto" w:line="240" w:before="0" w:after="0"/>
        <w:jc w:val="both"/>
        <w:rPr>
          <w:szCs w:val="24"/>
          <w:lang w:val="en-US"/>
        </w:rPr>
      </w:pPr>
      <w:r>
        <w:rPr>
          <w:szCs w:val="24"/>
          <w:lang w:val="en-US"/>
        </w:rPr>
        <w:t xml:space="preserve">SAS Institute Inc. SAS User’s Guide Statistics Version 9.1.3, 9th edn. </w:t>
      </w:r>
      <w:r>
        <w:rPr>
          <w:b/>
          <w:szCs w:val="24"/>
          <w:lang w:val="en-US"/>
        </w:rPr>
        <w:t>SAS Institute Inc</w:t>
      </w:r>
      <w:r>
        <w:rPr>
          <w:szCs w:val="24"/>
          <w:lang w:val="en-US"/>
        </w:rPr>
        <w:t>, Cary, NC. 2004.</w:t>
      </w:r>
    </w:p>
    <w:p>
      <w:pPr>
        <w:pStyle w:val="Normal"/>
        <w:shd w:val="clear" w:color="auto" w:fill="FFFFFF"/>
        <w:suppressAutoHyphens w:val="true"/>
        <w:spacing w:lineRule="auto" w:line="240" w:before="0" w:after="0"/>
        <w:jc w:val="both"/>
        <w:textAlignment w:val="baseline"/>
        <w:rPr>
          <w:bCs/>
          <w:szCs w:val="24"/>
          <w:lang w:val="en-US"/>
        </w:rPr>
      </w:pPr>
      <w:r>
        <w:rPr>
          <w:bCs/>
          <w:szCs w:val="24"/>
        </w:rPr>
        <w:t xml:space="preserve">VAN HAM, E.H.; </w:t>
      </w:r>
      <w:bookmarkStart w:id="7" w:name="baep-author-id5"/>
      <w:r>
        <w:rPr>
          <w:rStyle w:val="Text"/>
          <w:szCs w:val="24"/>
        </w:rPr>
        <w:t>BERNTSSEN, M.H.G.; KIMSLAND, A.; BONGA, S.E.W.; STEFANSSON, S.O.S.</w:t>
      </w:r>
      <w:bookmarkEnd w:id="7"/>
      <w:r>
        <w:rPr>
          <w:rStyle w:val="Text"/>
          <w:szCs w:val="24"/>
        </w:rPr>
        <w:t xml:space="preserve"> </w:t>
      </w:r>
      <w:r>
        <w:rPr>
          <w:bCs/>
          <w:szCs w:val="24"/>
          <w:lang w:val="en-US"/>
        </w:rPr>
        <w:t>The influence of temperature and ration on growth, feed conversion, body composition and nutrient retention of juvenile turbot (</w:t>
      </w:r>
      <w:r>
        <w:rPr>
          <w:bCs/>
          <w:i/>
          <w:szCs w:val="24"/>
          <w:lang w:val="en-US"/>
        </w:rPr>
        <w:t>Scophthalmus maximus</w:t>
      </w:r>
      <w:r>
        <w:rPr>
          <w:bCs/>
          <w:szCs w:val="24"/>
          <w:lang w:val="en-US"/>
        </w:rPr>
        <w:t xml:space="preserve">). </w:t>
      </w:r>
      <w:r>
        <w:rPr>
          <w:b/>
          <w:bCs/>
          <w:szCs w:val="24"/>
          <w:lang w:val="en-US"/>
        </w:rPr>
        <w:t>Aquaculture</w:t>
      </w:r>
      <w:r>
        <w:rPr>
          <w:bCs/>
          <w:szCs w:val="24"/>
          <w:lang w:val="en-US"/>
        </w:rPr>
        <w:t>, v.217, p.547-558, 2003.</w:t>
      </w:r>
    </w:p>
    <w:p>
      <w:pPr>
        <w:pStyle w:val="Normal"/>
        <w:shd w:val="clear" w:color="auto" w:fill="FFFFFF"/>
        <w:spacing w:lineRule="auto" w:line="240" w:before="0" w:after="0"/>
        <w:jc w:val="both"/>
        <w:rPr>
          <w:rFonts w:eastAsia="Times New Roman"/>
          <w:color w:val="000000"/>
          <w:szCs w:val="24"/>
        </w:rPr>
      </w:pPr>
      <w:r>
        <w:rPr>
          <w:rFonts w:eastAsia="Times New Roman"/>
          <w:color w:val="000000"/>
          <w:szCs w:val="24"/>
        </w:rPr>
        <w:t>VASQUEZ</w:t>
      </w:r>
      <w:r>
        <w:rPr>
          <w:rFonts w:eastAsia="Times New Roman"/>
          <w:bCs/>
          <w:color w:val="000000"/>
          <w:szCs w:val="24"/>
        </w:rPr>
        <w:t>, L., A</w:t>
      </w:r>
      <w:r>
        <w:rPr>
          <w:rFonts w:eastAsia="Times New Roman"/>
          <w:b/>
          <w:bCs/>
          <w:color w:val="000000"/>
          <w:szCs w:val="24"/>
        </w:rPr>
        <w:t xml:space="preserve">. Níveis de arraçoamento e frequência alimentar no desempenho produtivo do acará-bandeira </w:t>
      </w:r>
      <w:r>
        <w:rPr>
          <w:rFonts w:eastAsia="Times New Roman"/>
          <w:b/>
          <w:color w:val="000000"/>
          <w:szCs w:val="24"/>
        </w:rPr>
        <w:t>(</w:t>
      </w:r>
      <w:r>
        <w:rPr>
          <w:rFonts w:eastAsia="Times New Roman"/>
          <w:b/>
          <w:bCs/>
          <w:i/>
          <w:iCs/>
          <w:color w:val="000000"/>
          <w:szCs w:val="24"/>
        </w:rPr>
        <w:t>pterophyllum scalare</w:t>
      </w:r>
      <w:r>
        <w:rPr>
          <w:rFonts w:eastAsia="Times New Roman"/>
          <w:b/>
          <w:bCs/>
          <w:color w:val="000000"/>
          <w:szCs w:val="24"/>
        </w:rPr>
        <w:t>)</w:t>
      </w:r>
      <w:r>
        <w:rPr>
          <w:rFonts w:eastAsia="Times New Roman"/>
          <w:b/>
          <w:color w:val="000000"/>
          <w:szCs w:val="24"/>
        </w:rPr>
        <w:t>.</w:t>
      </w:r>
      <w:r>
        <w:rPr>
          <w:rFonts w:eastAsia="Times New Roman"/>
          <w:color w:val="000000"/>
          <w:szCs w:val="24"/>
        </w:rPr>
        <w:t xml:space="preserve"> Dissertação apresentada ao programa de pós-graduação em aqüicultura do centro de aqüicultura da UNESP, campus de Jaboticabal, 2008.</w:t>
      </w:r>
    </w:p>
    <w:p>
      <w:pPr>
        <w:pStyle w:val="Normal"/>
        <w:widowControl w:val="false"/>
        <w:overflowPunct w:val="true"/>
        <w:spacing w:lineRule="auto" w:line="240" w:before="0" w:after="0"/>
        <w:jc w:val="both"/>
        <w:rPr>
          <w:szCs w:val="24"/>
        </w:rPr>
      </w:pPr>
      <w:r>
        <w:rPr>
          <w:szCs w:val="24"/>
        </w:rPr>
        <w:t xml:space="preserve">ZANIBONI-FILHO, E. Larvicultura de peixes. </w:t>
      </w:r>
      <w:r>
        <w:rPr>
          <w:b/>
          <w:bCs/>
          <w:szCs w:val="24"/>
        </w:rPr>
        <w:t>Informe Agropecuário</w:t>
      </w:r>
      <w:r>
        <w:rPr>
          <w:szCs w:val="24"/>
        </w:rPr>
        <w:t>, Belo Horizonte, v.21, n.203, p.69-77, mar./abr. 2000.</w:t>
      </w:r>
      <w:bookmarkStart w:id="8" w:name="_GoBack"/>
      <w:bookmarkEnd w:id="8"/>
      <w:r>
        <w:rPr>
          <w:b/>
          <w:szCs w:val="24"/>
        </w:rPr>
        <w:t xml:space="preserve"> </w:t>
      </w:r>
    </w:p>
    <w:p>
      <w:pPr>
        <w:pStyle w:val="Normal"/>
        <w:spacing w:lineRule="auto" w:line="240" w:before="0" w:after="0"/>
        <w:jc w:val="center"/>
        <w:rPr/>
      </w:pPr>
      <w:r>
        <w:rPr/>
      </w:r>
    </w:p>
    <w:sectPr>
      <w:headerReference w:type="default" r:id="rId10"/>
      <w:type w:val="nextPage"/>
      <w:pgSz w:w="11906" w:h="16838"/>
      <w:pgMar w:left="1134" w:right="1134" w:header="709" w:top="1559"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swiss"/>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pPr>
    <w:r>
      <w:drawing>
        <wp:anchor behindDoc="1" distT="0" distB="0" distL="114300" distR="114300" simplePos="0" locked="0" layoutInCell="1" allowOverlap="1" relativeHeight="9">
          <wp:simplePos x="0" y="0"/>
          <wp:positionH relativeFrom="margin">
            <wp:posOffset>344170</wp:posOffset>
          </wp:positionH>
          <wp:positionV relativeFrom="margin">
            <wp:posOffset>-948690</wp:posOffset>
          </wp:positionV>
          <wp:extent cx="4819015" cy="777875"/>
          <wp:effectExtent l="0" t="0" r="0" b="0"/>
          <wp:wrapSquare wrapText="bothSides"/>
          <wp:docPr id="7"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 descr=""/>
                  <pic:cNvPicPr>
                    <a:picLocks noChangeAspect="1" noChangeArrowheads="1"/>
                  </pic:cNvPicPr>
                </pic:nvPicPr>
                <pic:blipFill>
                  <a:blip r:embed="rId1"/>
                  <a:stretch>
                    <a:fillRect/>
                  </a:stretch>
                </pic:blipFill>
                <pic:spPr bwMode="auto">
                  <a:xfrm>
                    <a:off x="0" y="0"/>
                    <a:ext cx="4819015" cy="777875"/>
                  </a:xfrm>
                  <a:prstGeom prst="rect">
                    <a:avLst/>
                  </a:prstGeom>
                </pic:spPr>
              </pic:pic>
            </a:graphicData>
          </a:graphic>
        </wp:anchor>
      </w:drawing>
    </w:r>
    <w:r>
      <w:rPr/>
      <w:t xml:space="preserve"> </w:t>
    </w:r>
    <w:r>
      <w:rPr/>
      <w:t xml:space="preserve">    </w:t>
    </w:r>
    <w:r>
      <w:rPr>
        <w:sz w:val="20"/>
        <w:szCs w:val="20"/>
      </w:rPr>
      <w:fldChar w:fldCharType="begin"/>
    </w:r>
    <w:r>
      <w:instrText> PAGE </w:instrText>
    </w:r>
    <w:r>
      <w:fldChar w:fldCharType="separate"/>
    </w:r>
    <w:r>
      <w:t>8</w:t>
    </w:r>
    <w:r>
      <w:fldChar w:fldCharType="end"/>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pt-BR" w:eastAsia="pt-BR"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80abd"/>
    <w:pPr>
      <w:widowControl/>
      <w:bidi w:val="0"/>
      <w:spacing w:lineRule="auto" w:line="276" w:before="0" w:after="200"/>
      <w:jc w:val="left"/>
    </w:pPr>
    <w:rPr>
      <w:rFonts w:ascii="Times New Roman" w:hAnsi="Times New Roman" w:eastAsia="Calibri" w:cs="Times New Roman"/>
      <w:color w:val="auto"/>
      <w:sz w:val="24"/>
      <w:szCs w:val="22"/>
      <w:lang w:eastAsia="en-US" w:val="pt-BR" w:bidi="ar-SA"/>
    </w:rPr>
  </w:style>
  <w:style w:type="paragraph" w:styleId="Ttulo1">
    <w:name w:val="Heading 1"/>
    <w:basedOn w:val="Normal"/>
    <w:next w:val="Normal"/>
    <w:link w:val="Ttulo1Char"/>
    <w:qFormat/>
    <w:rsid w:val="00376441"/>
    <w:pPr>
      <w:keepNext/>
      <w:spacing w:lineRule="auto" w:line="240" w:before="240" w:after="60"/>
      <w:outlineLvl w:val="0"/>
    </w:pPr>
    <w:rPr>
      <w:rFonts w:ascii="Arial" w:hAnsi="Arial" w:eastAsia="Times New Roman" w:cs="Arial"/>
      <w:b/>
      <w:bCs/>
      <w:sz w:val="32"/>
      <w:szCs w:val="32"/>
      <w:lang w:eastAsia="pt-BR"/>
    </w:rPr>
  </w:style>
  <w:style w:type="paragraph" w:styleId="Ttulo3">
    <w:name w:val="Heading 3"/>
    <w:basedOn w:val="Normal"/>
    <w:next w:val="Normal"/>
    <w:link w:val="Ttulo3Char"/>
    <w:uiPriority w:val="9"/>
    <w:unhideWhenUsed/>
    <w:qFormat/>
    <w:rsid w:val="00221a75"/>
    <w:pPr>
      <w:keepNext/>
      <w:keepLines/>
      <w:spacing w:before="40" w:after="0"/>
      <w:outlineLvl w:val="2"/>
    </w:pPr>
    <w:rPr>
      <w:rFonts w:ascii="Cambria" w:hAnsi="Cambria" w:eastAsia="" w:cs="" w:asciiTheme="majorHAnsi" w:cstheme="majorBidi" w:eastAsiaTheme="majorEastAsia" w:hAnsiTheme="majorHAnsi"/>
      <w:color w:val="243F60" w:themeColor="accent1" w:themeShade="7f"/>
      <w:szCs w:val="24"/>
    </w:rPr>
  </w:style>
  <w:style w:type="character" w:styleId="DefaultParagraphFont" w:default="1">
    <w:name w:val="Default Paragraph Font"/>
    <w:uiPriority w:val="1"/>
    <w:unhideWhenUsed/>
    <w:qFormat/>
    <w:rPr/>
  </w:style>
  <w:style w:type="character" w:styleId="CabealhoChar" w:customStyle="1">
    <w:name w:val="Cabeçalho Char"/>
    <w:basedOn w:val="DefaultParagraphFont"/>
    <w:link w:val="Cabealho"/>
    <w:uiPriority w:val="99"/>
    <w:qFormat/>
    <w:rsid w:val="00880abd"/>
    <w:rPr/>
  </w:style>
  <w:style w:type="character" w:styleId="RodapChar" w:customStyle="1">
    <w:name w:val="Rodapé Char"/>
    <w:basedOn w:val="DefaultParagraphFont"/>
    <w:link w:val="Rodap"/>
    <w:uiPriority w:val="99"/>
    <w:qFormat/>
    <w:rsid w:val="00880abd"/>
    <w:rPr/>
  </w:style>
  <w:style w:type="character" w:styleId="TextodebaloChar" w:customStyle="1">
    <w:name w:val="Texto de balão Char"/>
    <w:link w:val="Textodebalo"/>
    <w:uiPriority w:val="99"/>
    <w:semiHidden/>
    <w:qFormat/>
    <w:rsid w:val="00880abd"/>
    <w:rPr>
      <w:rFonts w:ascii="Tahoma" w:hAnsi="Tahoma" w:cs="Tahoma"/>
      <w:sz w:val="16"/>
      <w:szCs w:val="16"/>
    </w:rPr>
  </w:style>
  <w:style w:type="character" w:styleId="LinkdaInternet">
    <w:name w:val="Link da Internet"/>
    <w:uiPriority w:val="99"/>
    <w:unhideWhenUsed/>
    <w:rsid w:val="008332cb"/>
    <w:rPr>
      <w:color w:val="0000FF"/>
      <w:u w:val="single"/>
    </w:rPr>
  </w:style>
  <w:style w:type="character" w:styleId="Ttulo1Char" w:customStyle="1">
    <w:name w:val="Título 1 Char"/>
    <w:link w:val="Ttulo1"/>
    <w:qFormat/>
    <w:rsid w:val="00376441"/>
    <w:rPr>
      <w:rFonts w:ascii="Arial" w:hAnsi="Arial" w:eastAsia="Times New Roman" w:cs="Arial"/>
      <w:b/>
      <w:bCs/>
      <w:sz w:val="32"/>
      <w:szCs w:val="32"/>
      <w:lang w:eastAsia="pt-BR"/>
    </w:rPr>
  </w:style>
  <w:style w:type="character" w:styleId="Appleconvertedspace" w:customStyle="1">
    <w:name w:val="apple-converted-space"/>
    <w:basedOn w:val="DefaultParagraphFont"/>
    <w:qFormat/>
    <w:rsid w:val="00746ea3"/>
    <w:rPr/>
  </w:style>
  <w:style w:type="character" w:styleId="PrformataoHTMLChar" w:customStyle="1">
    <w:name w:val="Pré-formatação HTML Char"/>
    <w:basedOn w:val="DefaultParagraphFont"/>
    <w:link w:val="Pr-formataoHTML"/>
    <w:uiPriority w:val="99"/>
    <w:semiHidden/>
    <w:qFormat/>
    <w:rsid w:val="0080209d"/>
    <w:rPr>
      <w:rFonts w:ascii="Courier New" w:hAnsi="Courier New" w:eastAsia="Times New Roman" w:cs="Courier New"/>
    </w:rPr>
  </w:style>
  <w:style w:type="character" w:styleId="UnresolvedMention">
    <w:name w:val="Unresolved Mention"/>
    <w:basedOn w:val="DefaultParagraphFont"/>
    <w:uiPriority w:val="99"/>
    <w:semiHidden/>
    <w:unhideWhenUsed/>
    <w:qFormat/>
    <w:rsid w:val="00e1034d"/>
    <w:rPr>
      <w:color w:val="808080"/>
      <w:shd w:fill="E6E6E6" w:val="clear"/>
    </w:rPr>
  </w:style>
  <w:style w:type="character" w:styleId="Ttulo3Char" w:customStyle="1">
    <w:name w:val="Título 3 Char"/>
    <w:basedOn w:val="DefaultParagraphFont"/>
    <w:link w:val="Ttulo3"/>
    <w:uiPriority w:val="9"/>
    <w:qFormat/>
    <w:rsid w:val="00221a75"/>
    <w:rPr>
      <w:rFonts w:ascii="Cambria" w:hAnsi="Cambria" w:eastAsia="" w:cs="" w:asciiTheme="majorHAnsi" w:cstheme="majorBidi" w:eastAsiaTheme="majorEastAsia" w:hAnsiTheme="majorHAnsi"/>
      <w:color w:val="243F60" w:themeColor="accent1" w:themeShade="7f"/>
      <w:sz w:val="24"/>
      <w:szCs w:val="24"/>
      <w:lang w:eastAsia="en-US"/>
    </w:rPr>
  </w:style>
  <w:style w:type="character" w:styleId="Text" w:customStyle="1">
    <w:name w:val="text"/>
    <w:basedOn w:val="DefaultParagraphFont"/>
    <w:qFormat/>
    <w:rsid w:val="00221a75"/>
    <w:rPr/>
  </w:style>
  <w:style w:type="character" w:styleId="Authorref" w:customStyle="1">
    <w:name w:val="author-ref"/>
    <w:basedOn w:val="DefaultParagraphFont"/>
    <w:qFormat/>
    <w:rsid w:val="00221a75"/>
    <w:rPr/>
  </w:style>
  <w:style w:type="character" w:styleId="Sronly" w:customStyle="1">
    <w:name w:val="sr-only"/>
    <w:basedOn w:val="DefaultParagraphFont"/>
    <w:qFormat/>
    <w:rsid w:val="00221a75"/>
    <w:rPr/>
  </w:style>
  <w:style w:type="character" w:styleId="Authorsname" w:customStyle="1">
    <w:name w:val="authors__name"/>
    <w:basedOn w:val="DefaultParagraphFont"/>
    <w:qFormat/>
    <w:rsid w:val="00f8062f"/>
    <w:rPr/>
  </w:style>
  <w:style w:type="character" w:styleId="ListLabel1">
    <w:name w:val="ListLabel 1"/>
    <w:qFormat/>
    <w:rPr>
      <w:b/>
      <w:sz w:val="2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ink w:val="CabealhoChar"/>
    <w:uiPriority w:val="99"/>
    <w:unhideWhenUsed/>
    <w:rsid w:val="00880abd"/>
    <w:pPr>
      <w:tabs>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880abd"/>
    <w:pPr>
      <w:tabs>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880abd"/>
    <w:pPr>
      <w:spacing w:lineRule="auto" w:line="240" w:before="0" w:after="0"/>
    </w:pPr>
    <w:rPr>
      <w:rFonts w:ascii="Tahoma" w:hAnsi="Tahoma" w:cs="Tahoma"/>
      <w:sz w:val="16"/>
      <w:szCs w:val="16"/>
    </w:rPr>
  </w:style>
  <w:style w:type="paragraph" w:styleId="ListParagraph">
    <w:name w:val="List Paragraph"/>
    <w:basedOn w:val="Normal"/>
    <w:uiPriority w:val="34"/>
    <w:qFormat/>
    <w:rsid w:val="00c86faa"/>
    <w:pPr>
      <w:spacing w:before="0" w:after="200"/>
      <w:ind w:left="720" w:hanging="0"/>
      <w:contextualSpacing/>
    </w:pPr>
    <w:rPr/>
  </w:style>
  <w:style w:type="paragraph" w:styleId="RefernciasBibliogrficas" w:customStyle="1">
    <w:name w:val="Referências Bibliográficas"/>
    <w:basedOn w:val="Normal"/>
    <w:qFormat/>
    <w:rsid w:val="00746ea3"/>
    <w:pPr>
      <w:spacing w:lineRule="auto" w:line="240" w:before="0" w:after="0"/>
      <w:jc w:val="both"/>
    </w:pPr>
    <w:rPr>
      <w:rFonts w:eastAsia="Times New Roman"/>
      <w:iCs/>
      <w:szCs w:val="24"/>
      <w:lang w:eastAsia="pt-BR"/>
    </w:rPr>
  </w:style>
  <w:style w:type="paragraph" w:styleId="HTMLPreformatted">
    <w:name w:val="HTML Preformatted"/>
    <w:basedOn w:val="Normal"/>
    <w:link w:val="Pr-formataoHTMLChar"/>
    <w:uiPriority w:val="99"/>
    <w:semiHidden/>
    <w:unhideWhenUsed/>
    <w:qFormat/>
    <w:rsid w:val="0080209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t-BR"/>
    </w:rPr>
  </w:style>
  <w:style w:type="paragraph" w:styleId="NormalWeb">
    <w:name w:val="Normal (Web)"/>
    <w:basedOn w:val="Normal"/>
    <w:uiPriority w:val="99"/>
    <w:semiHidden/>
    <w:unhideWhenUsed/>
    <w:qFormat/>
    <w:rsid w:val="001e69e5"/>
    <w:pPr>
      <w:spacing w:lineRule="auto" w:line="240" w:beforeAutospacing="1" w:afterAutospacing="1"/>
    </w:pPr>
    <w:rPr>
      <w:rFonts w:eastAsia="" w:eastAsiaTheme="minorEastAsia"/>
      <w:szCs w:val="24"/>
      <w:lang w:eastAsia="pt-B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746ea3"/>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isiane.figueiredo@bol.com.br" TargetMode="External"/><Relationship Id="rId3" Type="http://schemas.openxmlformats.org/officeDocument/2006/relationships/hyperlink" Target="mailto:adilson.reidel@ifpr.edu.br" TargetMode="External"/><Relationship Id="rId4" Type="http://schemas.openxmlformats.org/officeDocument/2006/relationships/hyperlink" Target="mailto:flavia-potrich@hotmail.com" TargetMode="External"/><Relationship Id="rId5" Type="http://schemas.openxmlformats.org/officeDocument/2006/relationships/hyperlink" Target="mailto:andrelw@itaipu.gov.br" TargetMode="External"/><Relationship Id="rId6" Type="http://schemas.openxmlformats.org/officeDocument/2006/relationships/hyperlink" Target="mailto:celsoc@itaipu.gov.br" TargetMode="External"/><Relationship Id="rId7" Type="http://schemas.openxmlformats.org/officeDocument/2006/relationships/hyperlink" Target="mailto:arcangelo.signor@ifpr.edu.br" TargetMode="Externa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header" Target="head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scatterChart>
        <c:scatterStyle val="lineMarker"/>
        <c:varyColors val="0"/>
        <c:ser>
          <c:idx val="0"/>
          <c:order val="0"/>
          <c:tx>
            <c:strRef>
              <c:f>label 0</c:f>
              <c:strCache>
                <c:ptCount val="1"/>
                <c:pt idx="0">
                  <c:v>CA</c:v>
                </c:pt>
              </c:strCache>
            </c:strRef>
          </c:tx>
          <c:spPr>
            <a:solidFill>
              <a:srgbClr val="4f81bd"/>
            </a:solidFill>
            <a:ln w="19080">
              <a:noFill/>
            </a:ln>
          </c:spPr>
          <c:marker>
            <c:symbol val="circle"/>
            <c:size val="5"/>
            <c:spPr>
              <a:solidFill>
                <a:srgbClr val="4f81bd"/>
              </a:solidFill>
            </c:spPr>
          </c:marker>
          <c:dLbls>
            <c:dLblPos val="r"/>
            <c:showLegendKey val="0"/>
            <c:showVal val="0"/>
            <c:showCatName val="0"/>
            <c:showSerName val="0"/>
            <c:showPercent val="0"/>
            <c:showLeaderLines val="0"/>
          </c:dLbls>
          <c:trendline>
            <c:spPr>
              <a:ln w="19080">
                <a:solidFill>
                  <a:srgbClr val="4f81bd"/>
                </a:solidFill>
                <a:round/>
              </a:ln>
            </c:spPr>
            <c:trendlineType val="linear"/>
            <c:forward val="0"/>
            <c:backward val="0"/>
            <c:dispRSqr val="1"/>
            <c:dispEq val="1"/>
          </c:trendline>
          <c:xVal>
            <c:numRef>
              <c:f>1</c:f>
              <c:numCache>
                <c:formatCode>General</c:formatCode>
                <c:ptCount val="4"/>
                <c:pt idx="0">
                  <c:v>2</c:v>
                </c:pt>
                <c:pt idx="1">
                  <c:v>5</c:v>
                </c:pt>
                <c:pt idx="2">
                  <c:v>8</c:v>
                </c:pt>
                <c:pt idx="3">
                  <c:v>11</c:v>
                </c:pt>
              </c:numCache>
            </c:numRef>
          </c:xVal>
          <c:yVal>
            <c:numRef>
              <c:f>0</c:f>
              <c:numCache>
                <c:formatCode>General</c:formatCode>
                <c:ptCount val="4"/>
                <c:pt idx="0">
                  <c:v>2.81</c:v>
                </c:pt>
                <c:pt idx="1">
                  <c:v>6.9</c:v>
                </c:pt>
                <c:pt idx="2">
                  <c:v>10.36</c:v>
                </c:pt>
                <c:pt idx="3">
                  <c:v>13.89</c:v>
                </c:pt>
              </c:numCache>
            </c:numRef>
          </c:yVal>
          <c:smooth val="0"/>
        </c:ser>
        <c:axId val="75542537"/>
        <c:axId val="30089961"/>
      </c:scatterChart>
      <c:valAx>
        <c:axId val="75542537"/>
        <c:scaling>
          <c:orientation val="minMax"/>
          <c:max val="11"/>
          <c:min val="2"/>
        </c:scaling>
        <c:delete val="0"/>
        <c:axPos val="b"/>
        <c:title>
          <c:tx>
            <c:rich>
              <a:bodyPr rot="0"/>
              <a:lstStyle/>
              <a:p>
                <a:pPr>
                  <a:defRPr b="0" sz="600" spc="-1" strike="noStrike">
                    <a:solidFill>
                      <a:srgbClr val="595959"/>
                    </a:solidFill>
                    <a:uFill>
                      <a:solidFill>
                        <a:srgbClr val="ffffff"/>
                      </a:solidFill>
                    </a:uFill>
                    <a:latin typeface="Calibri"/>
                  </a:defRPr>
                </a:pPr>
                <a:r>
                  <a:rPr b="0" sz="600" spc="-1" strike="noStrike">
                    <a:solidFill>
                      <a:srgbClr val="595959"/>
                    </a:solidFill>
                    <a:uFill>
                      <a:solidFill>
                        <a:srgbClr val="ffffff"/>
                      </a:solidFill>
                    </a:uFill>
                    <a:latin typeface="Calibri"/>
                  </a:rPr>
                  <a:t>Porcentagem de arraçoamento (%)</a:t>
                </a:r>
              </a:p>
            </c:rich>
          </c:tx>
          <c:overlay val="0"/>
        </c:title>
        <c:numFmt formatCode="General" sourceLinked="0"/>
        <c:majorTickMark val="none"/>
        <c:minorTickMark val="none"/>
        <c:tickLblPos val="nextTo"/>
        <c:spPr>
          <a:ln w="9360">
            <a:solidFill>
              <a:srgbClr val="bfbfbf"/>
            </a:solidFill>
            <a:round/>
          </a:ln>
        </c:spPr>
        <c:txPr>
          <a:bodyPr/>
          <a:p>
            <a:pPr>
              <a:defRPr b="0" sz="600" spc="-1" strike="noStrike">
                <a:solidFill>
                  <a:srgbClr val="595959"/>
                </a:solidFill>
                <a:uFill>
                  <a:solidFill>
                    <a:srgbClr val="ffffff"/>
                  </a:solidFill>
                </a:uFill>
                <a:latin typeface="Calibri"/>
              </a:defRPr>
            </a:pPr>
          </a:p>
        </c:txPr>
        <c:crossAx val="30089961"/>
        <c:crosses val="autoZero"/>
        <c:crossBetween val="midCat"/>
        <c:majorUnit val="3"/>
      </c:valAx>
      <c:valAx>
        <c:axId val="30089961"/>
        <c:scaling>
          <c:orientation val="minMax"/>
        </c:scaling>
        <c:delete val="0"/>
        <c:axPos val="l"/>
        <c:title>
          <c:tx>
            <c:rich>
              <a:bodyPr rot="-5400000"/>
              <a:lstStyle/>
              <a:p>
                <a:pPr>
                  <a:defRPr b="0" sz="600" spc="-1" strike="noStrike">
                    <a:solidFill>
                      <a:srgbClr val="595959"/>
                    </a:solidFill>
                    <a:uFill>
                      <a:solidFill>
                        <a:srgbClr val="ffffff"/>
                      </a:solidFill>
                    </a:uFill>
                    <a:latin typeface="Calibri"/>
                  </a:defRPr>
                </a:pPr>
                <a:r>
                  <a:rPr b="0" sz="600" spc="-1" strike="noStrike">
                    <a:solidFill>
                      <a:srgbClr val="595959"/>
                    </a:solidFill>
                    <a:uFill>
                      <a:solidFill>
                        <a:srgbClr val="ffffff"/>
                      </a:solidFill>
                    </a:uFill>
                    <a:latin typeface="Calibri"/>
                  </a:rPr>
                  <a:t>Consumo de ração (g)</a:t>
                </a:r>
              </a:p>
            </c:rich>
          </c:tx>
          <c:overlay val="0"/>
        </c:title>
        <c:numFmt formatCode="General" sourceLinked="0"/>
        <c:majorTickMark val="none"/>
        <c:minorTickMark val="none"/>
        <c:tickLblPos val="nextTo"/>
        <c:spPr>
          <a:ln w="9360">
            <a:solidFill>
              <a:srgbClr val="bfbfbf"/>
            </a:solidFill>
            <a:round/>
          </a:ln>
        </c:spPr>
        <c:txPr>
          <a:bodyPr/>
          <a:p>
            <a:pPr>
              <a:defRPr b="0" sz="600" spc="-1" strike="noStrike">
                <a:solidFill>
                  <a:srgbClr val="595959"/>
                </a:solidFill>
                <a:uFill>
                  <a:solidFill>
                    <a:srgbClr val="ffffff"/>
                  </a:solidFill>
                </a:uFill>
                <a:latin typeface="Calibri"/>
              </a:defRPr>
            </a:pPr>
          </a:p>
        </c:txPr>
        <c:crossAx val="75542537"/>
        <c:crosses val="autoZero"/>
        <c:crossBetween val="midCat"/>
      </c:valAx>
      <c:spPr>
        <a:noFill/>
        <a:ln w="25560">
          <a:noFill/>
        </a:ln>
      </c:spPr>
    </c:plotArea>
    <c:plotVisOnly val="1"/>
    <c:dispBlanksAs val="gap"/>
  </c:chart>
  <c:spPr>
    <a:solidFill>
      <a:srgbClr val="ffffff"/>
    </a:solidFill>
    <a:ln w="9360">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plotArea>
      <c:scatterChart>
        <c:scatterStyle val="lineMarker"/>
        <c:varyColors val="0"/>
        <c:ser>
          <c:idx val="0"/>
          <c:order val="0"/>
          <c:tx>
            <c:strRef>
              <c:f>label 0</c:f>
              <c:strCache>
                <c:ptCount val="1"/>
                <c:pt idx="0">
                  <c:v>CA</c:v>
                </c:pt>
              </c:strCache>
            </c:strRef>
          </c:tx>
          <c:spPr>
            <a:solidFill>
              <a:srgbClr val="4f81bd"/>
            </a:solidFill>
            <a:ln w="19080">
              <a:noFill/>
            </a:ln>
          </c:spPr>
          <c:marker>
            <c:symbol val="circle"/>
            <c:size val="5"/>
            <c:spPr>
              <a:solidFill>
                <a:srgbClr val="4f81bd"/>
              </a:solidFill>
            </c:spPr>
          </c:marker>
          <c:dLbls>
            <c:dLblPos val="r"/>
            <c:showLegendKey val="0"/>
            <c:showVal val="0"/>
            <c:showCatName val="0"/>
            <c:showSerName val="0"/>
            <c:showPercent val="0"/>
            <c:showLeaderLines val="0"/>
          </c:dLbls>
          <c:trendline>
            <c:spPr>
              <a:ln w="19080">
                <a:solidFill>
                  <a:srgbClr val="4f81bd"/>
                </a:solidFill>
                <a:round/>
              </a:ln>
            </c:spPr>
            <c:trendlineType val="linear"/>
            <c:forward val="0"/>
            <c:backward val="0"/>
            <c:dispRSqr val="1"/>
            <c:dispEq val="1"/>
          </c:trendline>
          <c:xVal>
            <c:numRef>
              <c:f>1</c:f>
              <c:numCache>
                <c:formatCode>General</c:formatCode>
                <c:ptCount val="4"/>
                <c:pt idx="0">
                  <c:v>2</c:v>
                </c:pt>
                <c:pt idx="1">
                  <c:v>5</c:v>
                </c:pt>
                <c:pt idx="2">
                  <c:v>8</c:v>
                </c:pt>
                <c:pt idx="3">
                  <c:v>11</c:v>
                </c:pt>
              </c:numCache>
            </c:numRef>
          </c:xVal>
          <c:yVal>
            <c:numRef>
              <c:f>0</c:f>
              <c:numCache>
                <c:formatCode>General</c:formatCode>
                <c:ptCount val="4"/>
                <c:pt idx="0">
                  <c:v>2.81</c:v>
                </c:pt>
                <c:pt idx="1">
                  <c:v>6.9</c:v>
                </c:pt>
                <c:pt idx="2">
                  <c:v>10.36</c:v>
                </c:pt>
                <c:pt idx="3">
                  <c:v>13.89</c:v>
                </c:pt>
              </c:numCache>
            </c:numRef>
          </c:yVal>
          <c:smooth val="0"/>
        </c:ser>
        <c:axId val="30468950"/>
        <c:axId val="56632429"/>
      </c:scatterChart>
      <c:valAx>
        <c:axId val="30468950"/>
        <c:scaling>
          <c:orientation val="minMax"/>
          <c:max val="11"/>
          <c:min val="2"/>
        </c:scaling>
        <c:delete val="0"/>
        <c:axPos val="b"/>
        <c:title>
          <c:tx>
            <c:rich>
              <a:bodyPr rot="0"/>
              <a:lstStyle/>
              <a:p>
                <a:pPr>
                  <a:defRPr b="0" sz="600" spc="-1" strike="noStrike">
                    <a:solidFill>
                      <a:srgbClr val="595959"/>
                    </a:solidFill>
                    <a:uFill>
                      <a:solidFill>
                        <a:srgbClr val="ffffff"/>
                      </a:solidFill>
                    </a:uFill>
                    <a:latin typeface="Calibri"/>
                  </a:defRPr>
                </a:pPr>
                <a:r>
                  <a:rPr b="0" sz="600" spc="-1" strike="noStrike">
                    <a:solidFill>
                      <a:srgbClr val="595959"/>
                    </a:solidFill>
                    <a:uFill>
                      <a:solidFill>
                        <a:srgbClr val="ffffff"/>
                      </a:solidFill>
                    </a:uFill>
                    <a:latin typeface="Calibri"/>
                  </a:rPr>
                  <a:t>Porcentagem de arraçoamento (%)</a:t>
                </a:r>
              </a:p>
            </c:rich>
          </c:tx>
          <c:overlay val="0"/>
        </c:title>
        <c:numFmt formatCode="General" sourceLinked="0"/>
        <c:majorTickMark val="none"/>
        <c:minorTickMark val="none"/>
        <c:tickLblPos val="nextTo"/>
        <c:spPr>
          <a:ln w="9360">
            <a:solidFill>
              <a:srgbClr val="bfbfbf"/>
            </a:solidFill>
            <a:round/>
          </a:ln>
        </c:spPr>
        <c:txPr>
          <a:bodyPr/>
          <a:p>
            <a:pPr>
              <a:defRPr b="0" sz="600" spc="-1" strike="noStrike">
                <a:solidFill>
                  <a:srgbClr val="595959"/>
                </a:solidFill>
                <a:uFill>
                  <a:solidFill>
                    <a:srgbClr val="ffffff"/>
                  </a:solidFill>
                </a:uFill>
                <a:latin typeface="Calibri"/>
              </a:defRPr>
            </a:pPr>
          </a:p>
        </c:txPr>
        <c:crossAx val="56632429"/>
        <c:crosses val="autoZero"/>
        <c:crossBetween val="midCat"/>
        <c:majorUnit val="3"/>
      </c:valAx>
      <c:valAx>
        <c:axId val="56632429"/>
        <c:scaling>
          <c:orientation val="minMax"/>
        </c:scaling>
        <c:delete val="0"/>
        <c:axPos val="l"/>
        <c:title>
          <c:tx>
            <c:rich>
              <a:bodyPr rot="-5400000"/>
              <a:lstStyle/>
              <a:p>
                <a:pPr>
                  <a:defRPr b="0" sz="600" spc="-1" strike="noStrike">
                    <a:solidFill>
                      <a:srgbClr val="595959"/>
                    </a:solidFill>
                    <a:uFill>
                      <a:solidFill>
                        <a:srgbClr val="ffffff"/>
                      </a:solidFill>
                    </a:uFill>
                    <a:latin typeface="Calibri"/>
                  </a:defRPr>
                </a:pPr>
                <a:r>
                  <a:rPr b="0" sz="600" spc="-1" strike="noStrike">
                    <a:solidFill>
                      <a:srgbClr val="595959"/>
                    </a:solidFill>
                    <a:uFill>
                      <a:solidFill>
                        <a:srgbClr val="ffffff"/>
                      </a:solidFill>
                    </a:uFill>
                    <a:latin typeface="Calibri"/>
                  </a:rPr>
                  <a:t>Conversão aliemntar aparente</a:t>
                </a:r>
              </a:p>
            </c:rich>
          </c:tx>
          <c:overlay val="0"/>
        </c:title>
        <c:numFmt formatCode="General" sourceLinked="0"/>
        <c:majorTickMark val="none"/>
        <c:minorTickMark val="none"/>
        <c:tickLblPos val="nextTo"/>
        <c:spPr>
          <a:ln w="9360">
            <a:solidFill>
              <a:srgbClr val="bfbfbf"/>
            </a:solidFill>
            <a:round/>
          </a:ln>
        </c:spPr>
        <c:txPr>
          <a:bodyPr/>
          <a:p>
            <a:pPr>
              <a:defRPr b="0" sz="600" spc="-1" strike="noStrike">
                <a:solidFill>
                  <a:srgbClr val="595959"/>
                </a:solidFill>
                <a:uFill>
                  <a:solidFill>
                    <a:srgbClr val="ffffff"/>
                  </a:solidFill>
                </a:uFill>
                <a:latin typeface="Calibri"/>
              </a:defRPr>
            </a:pPr>
          </a:p>
        </c:txPr>
        <c:crossAx val="30468950"/>
        <c:crosses val="autoZero"/>
        <c:crossBetween val="midCat"/>
      </c:valAx>
      <c:spPr>
        <a:noFill/>
        <a:ln w="25560">
          <a:noFill/>
        </a:ln>
      </c:spPr>
    </c:plotArea>
    <c:plotVisOnly val="1"/>
    <c:dispBlanksAs val="gap"/>
  </c:chart>
  <c:spPr>
    <a:solidFill>
      <a:srgbClr val="ffffff"/>
    </a:solidFill>
    <a:ln w="9360">
      <a:noFill/>
    </a:ln>
  </c:spPr>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8B632-B371-4060-A33E-1C9DC605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Application>LibreOffice/5.3.1.2$Windows_x86 LibreOffice_project/e80a0e0fd1875e1696614d24c32df0f95f03deb2</Application>
  <Pages>8</Pages>
  <Words>3561</Words>
  <Characters>20461</Characters>
  <CharactersWithSpaces>23734</CharactersWithSpaces>
  <Paragraphs>320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2017-08-03T16:42:00Z</dcterms:created>
  <dc:creator>Paulo Mendes</dc:creator>
  <dc:description/>
  <dc:language>pt-BR</dc:language>
  <cp:lastModifiedBy>Professor</cp:lastModifiedBy>
  <cp:lastPrinted>2017-08-04T20:43:00Z</cp:lastPrinted>
  <dcterms:modified xsi:type="dcterms:W3CDTF">2017-08-05T20:09:00Z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