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813F18" w:rsidRDefault="00CA46C4" w:rsidP="00824730">
      <w:pPr>
        <w:spacing w:line="240" w:lineRule="auto"/>
        <w:jc w:val="center"/>
        <w:rPr>
          <w:b/>
        </w:rPr>
      </w:pPr>
      <w:r>
        <w:rPr>
          <w:b/>
        </w:rPr>
        <w:t>T</w:t>
      </w:r>
      <w:r w:rsidR="006D1569">
        <w:rPr>
          <w:b/>
        </w:rPr>
        <w:t xml:space="preserve">iro certeiro no pescoço: lesão </w:t>
      </w:r>
      <w:proofErr w:type="spellStart"/>
      <w:r w:rsidR="006D1569">
        <w:rPr>
          <w:b/>
        </w:rPr>
        <w:t>transfixante</w:t>
      </w:r>
      <w:proofErr w:type="spellEnd"/>
      <w:r w:rsidR="006D1569">
        <w:rPr>
          <w:b/>
        </w:rPr>
        <w:t xml:space="preserve"> da laringe e de ambas as carótidas, </w:t>
      </w:r>
      <w:r w:rsidR="00C63340">
        <w:rPr>
          <w:b/>
        </w:rPr>
        <w:t xml:space="preserve">associada </w:t>
      </w:r>
      <w:proofErr w:type="gramStart"/>
      <w:r w:rsidR="00C63340">
        <w:rPr>
          <w:b/>
        </w:rPr>
        <w:t>a</w:t>
      </w:r>
      <w:proofErr w:type="gramEnd"/>
      <w:r w:rsidR="006D1569">
        <w:rPr>
          <w:b/>
        </w:rPr>
        <w:t xml:space="preserve"> aspiração </w:t>
      </w:r>
      <w:r w:rsidR="009A2379">
        <w:rPr>
          <w:b/>
        </w:rPr>
        <w:t>abundante</w:t>
      </w:r>
      <w:r w:rsidR="006D1569">
        <w:rPr>
          <w:b/>
        </w:rPr>
        <w:t xml:space="preserve"> de sangue</w:t>
      </w:r>
    </w:p>
    <w:p w:rsidR="00595933" w:rsidRPr="00813F18" w:rsidRDefault="00595933" w:rsidP="00824730">
      <w:pPr>
        <w:spacing w:line="240" w:lineRule="auto"/>
        <w:jc w:val="left"/>
      </w:pPr>
    </w:p>
    <w:p w:rsidR="00BF65C7" w:rsidRPr="008D1821" w:rsidRDefault="00BF65C7" w:rsidP="008D1821">
      <w:pPr>
        <w:spacing w:line="240" w:lineRule="auto"/>
        <w:ind w:firstLine="851"/>
        <w:rPr>
          <w:sz w:val="22"/>
          <w:szCs w:val="22"/>
        </w:rPr>
      </w:pPr>
      <w:bookmarkStart w:id="0" w:name="_GoBack"/>
      <w:bookmarkEnd w:id="0"/>
    </w:p>
    <w:p w:rsidR="00F01E10" w:rsidRDefault="00F01E10" w:rsidP="00BF65C7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Estudos de caso são registros de valor inestimável para a prática d</w:t>
      </w:r>
      <w:r w:rsidR="00931531">
        <w:rPr>
          <w:sz w:val="22"/>
          <w:szCs w:val="22"/>
        </w:rPr>
        <w:t>a</w:t>
      </w:r>
      <w:r>
        <w:rPr>
          <w:sz w:val="22"/>
          <w:szCs w:val="22"/>
        </w:rPr>
        <w:t xml:space="preserve"> profissão</w:t>
      </w:r>
      <w:r w:rsidR="00931531">
        <w:rPr>
          <w:sz w:val="22"/>
          <w:szCs w:val="22"/>
        </w:rPr>
        <w:t xml:space="preserve"> médica</w:t>
      </w:r>
      <w:r>
        <w:rPr>
          <w:sz w:val="22"/>
          <w:szCs w:val="22"/>
        </w:rPr>
        <w:t xml:space="preserve"> (BUDGELL, 2008). </w:t>
      </w:r>
      <w:r w:rsidR="00931531">
        <w:rPr>
          <w:sz w:val="22"/>
          <w:szCs w:val="22"/>
        </w:rPr>
        <w:t xml:space="preserve">Representam </w:t>
      </w:r>
      <w:r w:rsidR="00647C62">
        <w:rPr>
          <w:sz w:val="22"/>
          <w:szCs w:val="22"/>
        </w:rPr>
        <w:t>documentações</w:t>
      </w:r>
      <w:r>
        <w:rPr>
          <w:sz w:val="22"/>
          <w:szCs w:val="22"/>
        </w:rPr>
        <w:t xml:space="preserve"> que nos ajudam a formular questões para estudos mais rigorosamente desenhados. </w:t>
      </w:r>
      <w:r w:rsidR="00424FCB">
        <w:rPr>
          <w:sz w:val="22"/>
          <w:szCs w:val="22"/>
        </w:rPr>
        <w:t xml:space="preserve">Também fornecem material educativo, demonstrando </w:t>
      </w:r>
      <w:r w:rsidR="00931531">
        <w:rPr>
          <w:sz w:val="22"/>
          <w:szCs w:val="22"/>
        </w:rPr>
        <w:t xml:space="preserve">situações </w:t>
      </w:r>
      <w:r w:rsidR="00424FCB">
        <w:rPr>
          <w:sz w:val="22"/>
          <w:szCs w:val="22"/>
        </w:rPr>
        <w:t xml:space="preserve">clássicas ou incomuns com </w:t>
      </w:r>
      <w:r w:rsidR="00931531">
        <w:rPr>
          <w:sz w:val="22"/>
          <w:szCs w:val="22"/>
        </w:rPr>
        <w:t>a</w:t>
      </w:r>
      <w:r w:rsidR="00424FCB">
        <w:rPr>
          <w:sz w:val="22"/>
          <w:szCs w:val="22"/>
        </w:rPr>
        <w:t>s quais o profissional pode se confrontar.</w:t>
      </w:r>
    </w:p>
    <w:p w:rsidR="00F721B0" w:rsidRDefault="00931531" w:rsidP="00C03FB1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Pouco</w:t>
      </w:r>
      <w:r w:rsidR="00C03FB1">
        <w:rPr>
          <w:sz w:val="22"/>
          <w:szCs w:val="22"/>
        </w:rPr>
        <w:t>, entretanto,</w:t>
      </w:r>
      <w:r>
        <w:rPr>
          <w:sz w:val="22"/>
          <w:szCs w:val="22"/>
        </w:rPr>
        <w:t xml:space="preserve"> se discute sobre o que torna um caso interessante. </w:t>
      </w:r>
      <w:r w:rsidR="00C03FB1">
        <w:rPr>
          <w:sz w:val="22"/>
          <w:szCs w:val="22"/>
        </w:rPr>
        <w:t>Alguns</w:t>
      </w:r>
      <w:r>
        <w:rPr>
          <w:sz w:val="22"/>
          <w:szCs w:val="22"/>
        </w:rPr>
        <w:t xml:space="preserve"> jornais procuram apresentações inesperadas ou </w:t>
      </w:r>
      <w:proofErr w:type="spellStart"/>
      <w:r>
        <w:rPr>
          <w:sz w:val="22"/>
          <w:szCs w:val="22"/>
        </w:rPr>
        <w:t>inusuais</w:t>
      </w:r>
      <w:proofErr w:type="spellEnd"/>
      <w:r>
        <w:rPr>
          <w:sz w:val="22"/>
          <w:szCs w:val="22"/>
        </w:rPr>
        <w:t xml:space="preserve"> de uma doença, ou n</w:t>
      </w:r>
      <w:r w:rsidR="00C03FB1">
        <w:rPr>
          <w:sz w:val="22"/>
          <w:szCs w:val="22"/>
        </w:rPr>
        <w:t>ovas associações ou variações de um</w:t>
      </w:r>
      <w:r>
        <w:rPr>
          <w:sz w:val="22"/>
          <w:szCs w:val="22"/>
        </w:rPr>
        <w:t xml:space="preserve"> processo patológico, entre outras possibilidades</w:t>
      </w:r>
      <w:r w:rsidR="00647C62">
        <w:rPr>
          <w:sz w:val="22"/>
          <w:szCs w:val="22"/>
        </w:rPr>
        <w:t xml:space="preserve"> (JMCR, 2013)</w:t>
      </w:r>
      <w:r>
        <w:rPr>
          <w:sz w:val="22"/>
          <w:szCs w:val="22"/>
        </w:rPr>
        <w:t xml:space="preserve">. </w:t>
      </w:r>
      <w:r w:rsidR="00C03FB1">
        <w:rPr>
          <w:sz w:val="22"/>
          <w:szCs w:val="22"/>
        </w:rPr>
        <w:t>Há os que</w:t>
      </w:r>
      <w:r>
        <w:rPr>
          <w:sz w:val="22"/>
          <w:szCs w:val="22"/>
        </w:rPr>
        <w:t xml:space="preserve"> manifestam interesse por casos autênticos, com algum valor educacional e que representem um avanço no seu campo</w:t>
      </w:r>
      <w:r w:rsidR="000A71BE">
        <w:rPr>
          <w:sz w:val="22"/>
          <w:szCs w:val="22"/>
        </w:rPr>
        <w:t xml:space="preserve"> (RISON, 2013)</w:t>
      </w:r>
      <w:r>
        <w:rPr>
          <w:sz w:val="22"/>
          <w:szCs w:val="22"/>
        </w:rPr>
        <w:t>.</w:t>
      </w:r>
    </w:p>
    <w:p w:rsidR="00BF65C7" w:rsidRDefault="00647C62" w:rsidP="00BF65C7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Para </w:t>
      </w:r>
      <w:proofErr w:type="spellStart"/>
      <w:r>
        <w:rPr>
          <w:sz w:val="22"/>
          <w:szCs w:val="22"/>
        </w:rPr>
        <w:t>Meyers</w:t>
      </w:r>
      <w:proofErr w:type="spellEnd"/>
      <w:r>
        <w:rPr>
          <w:sz w:val="22"/>
          <w:szCs w:val="22"/>
        </w:rPr>
        <w:t xml:space="preserve"> (2003), t</w:t>
      </w:r>
      <w:r w:rsidR="00C03FB1">
        <w:rPr>
          <w:sz w:val="22"/>
          <w:szCs w:val="22"/>
        </w:rPr>
        <w:t>odo médico se viu envolvido em casos médicos memoráveis. Essas histórias são ocasiões raras, por vezes trágicas, ou que margeiam o inacreditável (MEYERS, 2003). Visto</w:t>
      </w:r>
      <w:r>
        <w:rPr>
          <w:sz w:val="22"/>
          <w:szCs w:val="22"/>
        </w:rPr>
        <w:t>s</w:t>
      </w:r>
      <w:r w:rsidR="00C03FB1">
        <w:rPr>
          <w:sz w:val="22"/>
          <w:szCs w:val="22"/>
        </w:rPr>
        <w:t xml:space="preserve"> dessa maneira, d</w:t>
      </w:r>
      <w:r w:rsidR="006D1569">
        <w:rPr>
          <w:sz w:val="22"/>
          <w:szCs w:val="22"/>
        </w:rPr>
        <w:t xml:space="preserve">iversos </w:t>
      </w:r>
      <w:r w:rsidR="00931531">
        <w:rPr>
          <w:sz w:val="22"/>
          <w:szCs w:val="22"/>
        </w:rPr>
        <w:t xml:space="preserve">outros </w:t>
      </w:r>
      <w:r w:rsidR="006D1569">
        <w:rPr>
          <w:sz w:val="22"/>
          <w:szCs w:val="22"/>
        </w:rPr>
        <w:t>aspectos</w:t>
      </w:r>
      <w:r w:rsidR="00931531">
        <w:rPr>
          <w:sz w:val="22"/>
          <w:szCs w:val="22"/>
        </w:rPr>
        <w:t xml:space="preserve"> </w:t>
      </w:r>
      <w:r w:rsidR="006D1569">
        <w:rPr>
          <w:sz w:val="22"/>
          <w:szCs w:val="22"/>
        </w:rPr>
        <w:t>podem</w:t>
      </w:r>
      <w:r w:rsidR="00F721B0">
        <w:rPr>
          <w:sz w:val="22"/>
          <w:szCs w:val="22"/>
        </w:rPr>
        <w:t xml:space="preserve"> ainda</w:t>
      </w:r>
      <w:r w:rsidR="006D1569">
        <w:rPr>
          <w:sz w:val="22"/>
          <w:szCs w:val="22"/>
        </w:rPr>
        <w:t xml:space="preserve"> tornar um caso interess</w:t>
      </w:r>
      <w:r w:rsidR="00C03FB1">
        <w:rPr>
          <w:sz w:val="22"/>
          <w:szCs w:val="22"/>
        </w:rPr>
        <w:t>ante, tais como coincidências ou</w:t>
      </w:r>
      <w:r w:rsidR="006D1569">
        <w:rPr>
          <w:sz w:val="22"/>
          <w:szCs w:val="22"/>
        </w:rPr>
        <w:t xml:space="preserve"> características improváveis</w:t>
      </w:r>
      <w:r w:rsidR="00B83A6E">
        <w:rPr>
          <w:sz w:val="22"/>
          <w:szCs w:val="22"/>
        </w:rPr>
        <w:t xml:space="preserve">. </w:t>
      </w:r>
    </w:p>
    <w:p w:rsidR="00C03FB1" w:rsidRDefault="00C03FB1" w:rsidP="00BF65C7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 objetivo do presente estudo é ilustrar, com achados anatômicos </w:t>
      </w:r>
      <w:r w:rsidR="00DF1472">
        <w:rPr>
          <w:sz w:val="22"/>
          <w:szCs w:val="22"/>
        </w:rPr>
        <w:t>provocados por um tiro com precisão incomum</w:t>
      </w:r>
      <w:r>
        <w:rPr>
          <w:sz w:val="22"/>
          <w:szCs w:val="22"/>
        </w:rPr>
        <w:t>, a importância da realização de exames completos e de dissecções cadavéricas cuidados</w:t>
      </w:r>
      <w:r w:rsidR="00497B80">
        <w:rPr>
          <w:sz w:val="22"/>
          <w:szCs w:val="22"/>
        </w:rPr>
        <w:t>as na prática da medicina legal, para a detalhada compreensão das lesões.</w:t>
      </w:r>
    </w:p>
    <w:p w:rsidR="006640E8" w:rsidRDefault="00DF1472" w:rsidP="006640E8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Trata-se do homicídio de um rapaz de 23 anos, cuja perícia foi procedida e</w:t>
      </w:r>
      <w:r w:rsidR="006640E8">
        <w:rPr>
          <w:sz w:val="22"/>
          <w:szCs w:val="22"/>
        </w:rPr>
        <w:t xml:space="preserve">m </w:t>
      </w:r>
      <w:r w:rsidR="00D16A5A">
        <w:rPr>
          <w:sz w:val="22"/>
          <w:szCs w:val="22"/>
        </w:rPr>
        <w:t>localidade balnear</w:t>
      </w:r>
      <w:r w:rsidR="006640E8">
        <w:rPr>
          <w:sz w:val="22"/>
          <w:szCs w:val="22"/>
        </w:rPr>
        <w:t xml:space="preserve">, </w:t>
      </w:r>
      <w:proofErr w:type="gramStart"/>
      <w:r w:rsidR="00644430">
        <w:rPr>
          <w:sz w:val="22"/>
          <w:szCs w:val="22"/>
        </w:rPr>
        <w:t>em</w:t>
      </w:r>
      <w:proofErr w:type="gramEnd"/>
      <w:r w:rsidR="00644430">
        <w:rPr>
          <w:sz w:val="22"/>
          <w:szCs w:val="22"/>
        </w:rPr>
        <w:t xml:space="preserve"> </w:t>
      </w:r>
      <w:proofErr w:type="gramStart"/>
      <w:r w:rsidR="00644430">
        <w:rPr>
          <w:sz w:val="22"/>
          <w:szCs w:val="22"/>
        </w:rPr>
        <w:t>horário</w:t>
      </w:r>
      <w:proofErr w:type="gramEnd"/>
      <w:r w:rsidR="00644430">
        <w:rPr>
          <w:sz w:val="22"/>
          <w:szCs w:val="22"/>
        </w:rPr>
        <w:t xml:space="preserve"> próximo à meia-noite.</w:t>
      </w:r>
      <w:r w:rsidR="006640E8">
        <w:rPr>
          <w:sz w:val="22"/>
          <w:szCs w:val="22"/>
        </w:rPr>
        <w:t xml:space="preserve"> </w:t>
      </w:r>
      <w:r w:rsidR="00644430">
        <w:rPr>
          <w:sz w:val="22"/>
          <w:szCs w:val="22"/>
        </w:rPr>
        <w:t>E</w:t>
      </w:r>
      <w:r w:rsidR="00EE1D0F">
        <w:rPr>
          <w:sz w:val="22"/>
          <w:szCs w:val="22"/>
        </w:rPr>
        <w:t>ncontr</w:t>
      </w:r>
      <w:r w:rsidR="00644430">
        <w:rPr>
          <w:sz w:val="22"/>
          <w:szCs w:val="22"/>
        </w:rPr>
        <w:t>ava</w:t>
      </w:r>
      <w:r w:rsidR="00EE1D0F">
        <w:rPr>
          <w:sz w:val="22"/>
          <w:szCs w:val="22"/>
        </w:rPr>
        <w:t xml:space="preserve">-se o cadáver </w:t>
      </w:r>
      <w:r w:rsidR="006640E8">
        <w:rPr>
          <w:sz w:val="22"/>
          <w:szCs w:val="22"/>
        </w:rPr>
        <w:t>em via pública sem pavimentação, de área residencial, sem iluminação e de baixa movimentação de veículos e pedestres. O exame do local revelou</w:t>
      </w:r>
      <w:r w:rsidR="00EE1D0F">
        <w:rPr>
          <w:sz w:val="22"/>
          <w:szCs w:val="22"/>
        </w:rPr>
        <w:t xml:space="preserve"> ainda</w:t>
      </w:r>
      <w:r w:rsidR="006640E8">
        <w:rPr>
          <w:sz w:val="22"/>
          <w:szCs w:val="22"/>
        </w:rPr>
        <w:t xml:space="preserve"> um projétil </w:t>
      </w:r>
      <w:r w:rsidR="00644430">
        <w:rPr>
          <w:sz w:val="22"/>
          <w:szCs w:val="22"/>
        </w:rPr>
        <w:t>no chão,</w:t>
      </w:r>
      <w:r w:rsidR="006640E8">
        <w:rPr>
          <w:sz w:val="22"/>
          <w:szCs w:val="22"/>
        </w:rPr>
        <w:t xml:space="preserve"> a 5 metros da vítima, na ausência de estojos deflagrados.</w:t>
      </w:r>
    </w:p>
    <w:p w:rsidR="00497B80" w:rsidRDefault="006640E8" w:rsidP="006640E8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 exame cadavérico externo demonstrou </w:t>
      </w:r>
      <w:r w:rsidR="006F6671">
        <w:rPr>
          <w:sz w:val="22"/>
          <w:szCs w:val="22"/>
        </w:rPr>
        <w:t>m</w:t>
      </w:r>
      <w:r w:rsidR="006F6671" w:rsidRPr="006F6671">
        <w:rPr>
          <w:sz w:val="22"/>
          <w:szCs w:val="22"/>
        </w:rPr>
        <w:t>aterial espumoso e róseo nas cavidades nasais e oral</w:t>
      </w:r>
      <w:r w:rsidR="00497B80">
        <w:rPr>
          <w:sz w:val="22"/>
          <w:szCs w:val="22"/>
        </w:rPr>
        <w:t xml:space="preserve"> (fotografia </w:t>
      </w:r>
      <w:proofErr w:type="gramStart"/>
      <w:r w:rsidR="00497B80">
        <w:rPr>
          <w:sz w:val="22"/>
          <w:szCs w:val="22"/>
        </w:rPr>
        <w:t>1</w:t>
      </w:r>
      <w:proofErr w:type="gramEnd"/>
      <w:r w:rsidR="00497B80">
        <w:rPr>
          <w:sz w:val="22"/>
          <w:szCs w:val="22"/>
        </w:rPr>
        <w:t>)</w:t>
      </w:r>
      <w:r w:rsidR="006F6671" w:rsidRPr="006F6671">
        <w:rPr>
          <w:sz w:val="22"/>
          <w:szCs w:val="22"/>
        </w:rPr>
        <w:t>, e</w:t>
      </w:r>
      <w:r w:rsidR="006F66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nove orifícios, cinco com características de entrada de instrumento </w:t>
      </w:r>
      <w:proofErr w:type="spellStart"/>
      <w:r>
        <w:rPr>
          <w:sz w:val="22"/>
          <w:szCs w:val="22"/>
        </w:rPr>
        <w:t>perfurocontundente</w:t>
      </w:r>
      <w:proofErr w:type="spellEnd"/>
      <w:r>
        <w:rPr>
          <w:sz w:val="22"/>
          <w:szCs w:val="22"/>
        </w:rPr>
        <w:t>, quatro correspondendo às respectivas saídas e um projétil alojado na coxa. Dos orifícios, destacavam-se os de entrada e saída localizados nas regiões laterais do pescoço, em trajeto horizontalizado, da direita para a esquerda</w:t>
      </w:r>
      <w:r w:rsidR="00497B80">
        <w:rPr>
          <w:sz w:val="22"/>
          <w:szCs w:val="22"/>
        </w:rPr>
        <w:t xml:space="preserve"> (fotografia </w:t>
      </w:r>
      <w:proofErr w:type="gramStart"/>
      <w:r w:rsidR="00497B80">
        <w:rPr>
          <w:sz w:val="22"/>
          <w:szCs w:val="22"/>
        </w:rPr>
        <w:t>2</w:t>
      </w:r>
      <w:proofErr w:type="gramEnd"/>
      <w:r w:rsidR="00497B80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DE738B" w:rsidRDefault="006F6671" w:rsidP="00497B8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 exame interno revelou, de maneira curiosa, que o trajeto dessa lesão transfixava tecidos moles do pescoço, as artérias carótidas direita e esquerda, e a laringe</w:t>
      </w:r>
      <w:r w:rsidR="00644430">
        <w:rPr>
          <w:sz w:val="22"/>
          <w:szCs w:val="22"/>
        </w:rPr>
        <w:t xml:space="preserve"> abaixo da glote</w:t>
      </w:r>
      <w:r w:rsidR="00497B80">
        <w:rPr>
          <w:sz w:val="22"/>
          <w:szCs w:val="22"/>
        </w:rPr>
        <w:t xml:space="preserve"> (fotografia </w:t>
      </w:r>
      <w:proofErr w:type="gramStart"/>
      <w:r w:rsidR="00497B80">
        <w:rPr>
          <w:sz w:val="22"/>
          <w:szCs w:val="22"/>
        </w:rPr>
        <w:t>3</w:t>
      </w:r>
      <w:proofErr w:type="gramEnd"/>
      <w:r w:rsidR="00497B80">
        <w:rPr>
          <w:sz w:val="22"/>
          <w:szCs w:val="22"/>
        </w:rPr>
        <w:t>)</w:t>
      </w:r>
      <w:r>
        <w:rPr>
          <w:sz w:val="22"/>
          <w:szCs w:val="22"/>
        </w:rPr>
        <w:t xml:space="preserve">. A lesão da carótida direita transfixava-a exatamente ao meio, restando uma discreta ponte de tecido </w:t>
      </w:r>
      <w:r w:rsidR="00644430">
        <w:rPr>
          <w:sz w:val="22"/>
          <w:szCs w:val="22"/>
        </w:rPr>
        <w:t>em cada lado da lesão, que unia</w:t>
      </w:r>
      <w:r>
        <w:rPr>
          <w:sz w:val="22"/>
          <w:szCs w:val="22"/>
        </w:rPr>
        <w:t xml:space="preserve"> os segmentos da artéria</w:t>
      </w:r>
      <w:r w:rsidR="00497B80">
        <w:rPr>
          <w:sz w:val="22"/>
          <w:szCs w:val="22"/>
        </w:rPr>
        <w:t xml:space="preserve"> (fotografia </w:t>
      </w:r>
      <w:proofErr w:type="gramStart"/>
      <w:r w:rsidR="00497B80">
        <w:rPr>
          <w:sz w:val="22"/>
          <w:szCs w:val="22"/>
        </w:rPr>
        <w:t>5</w:t>
      </w:r>
      <w:proofErr w:type="gramEnd"/>
      <w:r w:rsidR="00497B80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DE738B">
        <w:rPr>
          <w:sz w:val="22"/>
          <w:szCs w:val="22"/>
        </w:rPr>
        <w:t xml:space="preserve"> À abertura da laringe, além da lesão </w:t>
      </w:r>
      <w:proofErr w:type="spellStart"/>
      <w:r w:rsidR="00DE738B">
        <w:rPr>
          <w:sz w:val="22"/>
          <w:szCs w:val="22"/>
        </w:rPr>
        <w:t>transfixante</w:t>
      </w:r>
      <w:proofErr w:type="spellEnd"/>
      <w:r w:rsidR="00DE738B">
        <w:rPr>
          <w:sz w:val="22"/>
          <w:szCs w:val="22"/>
        </w:rPr>
        <w:t xml:space="preserve">, identificou-se copiosa quantidade de material espumoso e róseo. Os pulmões apresentavam </w:t>
      </w:r>
      <w:r w:rsidR="002A588A">
        <w:rPr>
          <w:sz w:val="22"/>
          <w:szCs w:val="22"/>
        </w:rPr>
        <w:t>áreas de hemorragia em padrão de</w:t>
      </w:r>
      <w:r w:rsidR="00DE738B">
        <w:rPr>
          <w:sz w:val="22"/>
          <w:szCs w:val="22"/>
        </w:rPr>
        <w:t xml:space="preserve"> “tabuleiro de xadrez”</w:t>
      </w:r>
      <w:r w:rsidR="00497B80">
        <w:rPr>
          <w:sz w:val="22"/>
          <w:szCs w:val="22"/>
        </w:rPr>
        <w:t xml:space="preserve"> (fotografias </w:t>
      </w:r>
      <w:proofErr w:type="gramStart"/>
      <w:r w:rsidR="00497B80">
        <w:rPr>
          <w:sz w:val="22"/>
          <w:szCs w:val="22"/>
        </w:rPr>
        <w:t>5</w:t>
      </w:r>
      <w:proofErr w:type="gramEnd"/>
      <w:r w:rsidR="00497B80">
        <w:rPr>
          <w:sz w:val="22"/>
          <w:szCs w:val="22"/>
        </w:rPr>
        <w:t xml:space="preserve"> e 6)</w:t>
      </w:r>
      <w:r w:rsidR="00DE738B">
        <w:rPr>
          <w:sz w:val="22"/>
          <w:szCs w:val="22"/>
        </w:rPr>
        <w:t>.</w:t>
      </w:r>
      <w:r w:rsidR="00FC1B3F">
        <w:rPr>
          <w:sz w:val="22"/>
          <w:szCs w:val="22"/>
        </w:rPr>
        <w:t xml:space="preserve"> O esôfago e o estômago não apresentavam sinais de ingestão do sangue.</w:t>
      </w:r>
    </w:p>
    <w:p w:rsidR="00DE738B" w:rsidRDefault="00DE738B" w:rsidP="006640E8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Chama atenção inicial ao caso a improvável precisão com a qual a lesão transfixa as estruturas do pescoço. Mas outros aspectos importantes merecem considerações.</w:t>
      </w:r>
    </w:p>
    <w:p w:rsidR="00DE738B" w:rsidRDefault="00DE738B" w:rsidP="006640E8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 estreita relação entre artérias e vias aéreas, a localização anatomicamente profunda das mesmas, e a presença de uma barreira de tecidos musculares cercando as citadas estruturas, favoreceram com que copiosa quantidade de sangue fosse pulsada para o interio</w:t>
      </w:r>
      <w:r w:rsidR="00081440">
        <w:rPr>
          <w:sz w:val="22"/>
          <w:szCs w:val="22"/>
        </w:rPr>
        <w:t>r da laringe por ambos os lados, inundando de imediato as vias aéreas.</w:t>
      </w:r>
    </w:p>
    <w:p w:rsidR="00DE738B" w:rsidRDefault="00081440" w:rsidP="00497B8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 hemorragia para a luz dessa via provocou a aspiração de parte do sangue, que ocupou de maneira aleatória os lóbulos pulmonares e provocou sua distribuição no padrão citado.</w:t>
      </w:r>
      <w:r w:rsidR="00497B80">
        <w:rPr>
          <w:sz w:val="22"/>
          <w:szCs w:val="22"/>
        </w:rPr>
        <w:t xml:space="preserve"> </w:t>
      </w:r>
      <w:r w:rsidR="00DE738B">
        <w:rPr>
          <w:sz w:val="22"/>
          <w:szCs w:val="22"/>
        </w:rPr>
        <w:t xml:space="preserve">Segundo </w:t>
      </w:r>
      <w:proofErr w:type="spellStart"/>
      <w:r w:rsidR="00DE738B">
        <w:rPr>
          <w:sz w:val="22"/>
          <w:szCs w:val="22"/>
        </w:rPr>
        <w:t>D</w:t>
      </w:r>
      <w:r w:rsidR="00644430">
        <w:rPr>
          <w:sz w:val="22"/>
          <w:szCs w:val="22"/>
        </w:rPr>
        <w:t>ettmeyer</w:t>
      </w:r>
      <w:proofErr w:type="spellEnd"/>
      <w:r w:rsidR="00644430">
        <w:rPr>
          <w:sz w:val="22"/>
          <w:szCs w:val="22"/>
        </w:rPr>
        <w:t xml:space="preserve"> </w:t>
      </w:r>
      <w:r w:rsidR="00DE738B">
        <w:rPr>
          <w:sz w:val="22"/>
          <w:szCs w:val="22"/>
        </w:rPr>
        <w:t xml:space="preserve">(2014), o padrão em </w:t>
      </w:r>
      <w:r>
        <w:rPr>
          <w:sz w:val="22"/>
          <w:szCs w:val="22"/>
        </w:rPr>
        <w:t>“</w:t>
      </w:r>
      <w:r w:rsidR="00DE738B">
        <w:rPr>
          <w:sz w:val="22"/>
          <w:szCs w:val="22"/>
        </w:rPr>
        <w:t>tabuleiro de xadrez</w:t>
      </w:r>
      <w:r>
        <w:rPr>
          <w:sz w:val="22"/>
          <w:szCs w:val="22"/>
        </w:rPr>
        <w:t>”</w:t>
      </w:r>
      <w:r w:rsidR="00DE738B">
        <w:rPr>
          <w:sz w:val="22"/>
          <w:szCs w:val="22"/>
        </w:rPr>
        <w:t xml:space="preserve"> é característico de aspiração </w:t>
      </w:r>
      <w:r w:rsidR="009A2379">
        <w:rPr>
          <w:sz w:val="22"/>
          <w:szCs w:val="22"/>
        </w:rPr>
        <w:t>abundante</w:t>
      </w:r>
      <w:r w:rsidR="00DE738B">
        <w:rPr>
          <w:sz w:val="22"/>
          <w:szCs w:val="22"/>
        </w:rPr>
        <w:t xml:space="preserve"> de sangue, e ocorre em casos de lesão penetrante do pesc</w:t>
      </w:r>
      <w:r w:rsidR="00497B80">
        <w:rPr>
          <w:sz w:val="22"/>
          <w:szCs w:val="22"/>
        </w:rPr>
        <w:t>oço, mais frequentemente por projétil ou arma branca.</w:t>
      </w:r>
    </w:p>
    <w:p w:rsidR="00497B80" w:rsidRDefault="00497B80" w:rsidP="00497B8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Achados </w:t>
      </w:r>
      <w:r w:rsidR="00063463">
        <w:rPr>
          <w:sz w:val="22"/>
          <w:szCs w:val="22"/>
        </w:rPr>
        <w:t>semelhantes a</w:t>
      </w:r>
      <w:r>
        <w:rPr>
          <w:sz w:val="22"/>
          <w:szCs w:val="22"/>
        </w:rPr>
        <w:t xml:space="preserve"> estes podem levantar a possibilidade de mor</w:t>
      </w:r>
      <w:r w:rsidR="0097788C">
        <w:rPr>
          <w:sz w:val="22"/>
          <w:szCs w:val="22"/>
        </w:rPr>
        <w:t>t</w:t>
      </w:r>
      <w:r>
        <w:rPr>
          <w:sz w:val="22"/>
          <w:szCs w:val="22"/>
        </w:rPr>
        <w:t xml:space="preserve">e agônica e a qualificação do crime de homicídio. </w:t>
      </w:r>
      <w:r w:rsidR="006431A8">
        <w:rPr>
          <w:sz w:val="22"/>
          <w:szCs w:val="22"/>
        </w:rPr>
        <w:t>Entretanto,</w:t>
      </w:r>
      <w:r>
        <w:rPr>
          <w:sz w:val="22"/>
          <w:szCs w:val="22"/>
        </w:rPr>
        <w:t xml:space="preserve"> faz-se </w:t>
      </w:r>
      <w:r w:rsidR="006431A8">
        <w:rPr>
          <w:sz w:val="22"/>
          <w:szCs w:val="22"/>
        </w:rPr>
        <w:t>necessária uma criteriosa</w:t>
      </w:r>
      <w:r>
        <w:rPr>
          <w:sz w:val="22"/>
          <w:szCs w:val="22"/>
        </w:rPr>
        <w:t xml:space="preserve"> </w:t>
      </w:r>
      <w:r w:rsidR="006431A8">
        <w:rPr>
          <w:sz w:val="22"/>
          <w:szCs w:val="22"/>
        </w:rPr>
        <w:t>identificação</w:t>
      </w:r>
      <w:r>
        <w:rPr>
          <w:sz w:val="22"/>
          <w:szCs w:val="22"/>
        </w:rPr>
        <w:t>, interpretação e registro das evidê</w:t>
      </w:r>
      <w:r w:rsidR="006431A8">
        <w:rPr>
          <w:sz w:val="22"/>
          <w:szCs w:val="22"/>
        </w:rPr>
        <w:t>ncias, para que uma mera suposição não incorra em erro judicial.</w:t>
      </w:r>
    </w:p>
    <w:p w:rsidR="00DF1472" w:rsidRPr="00BF65C7" w:rsidRDefault="00DF1472" w:rsidP="006431A8">
      <w:pPr>
        <w:spacing w:line="240" w:lineRule="auto"/>
        <w:rPr>
          <w:sz w:val="22"/>
          <w:szCs w:val="22"/>
        </w:rPr>
      </w:pPr>
    </w:p>
    <w:p w:rsidR="007019E1" w:rsidRDefault="007019E1" w:rsidP="00024231">
      <w:pPr>
        <w:spacing w:line="240" w:lineRule="auto"/>
        <w:ind w:firstLine="851"/>
        <w:rPr>
          <w:sz w:val="22"/>
          <w:szCs w:val="22"/>
        </w:rPr>
      </w:pPr>
    </w:p>
    <w:p w:rsidR="00024231" w:rsidRDefault="007019E1" w:rsidP="00B145C5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z w:val="22"/>
          <w:szCs w:val="22"/>
        </w:rPr>
        <w:lastRenderedPageBreak/>
        <w:t>Fotografia</w:t>
      </w:r>
      <w:r w:rsidR="00497B80">
        <w:rPr>
          <w:sz w:val="22"/>
          <w:szCs w:val="22"/>
        </w:rPr>
        <w:t>s 1 a 6</w:t>
      </w:r>
      <w:r>
        <w:rPr>
          <w:sz w:val="22"/>
          <w:szCs w:val="22"/>
        </w:rPr>
        <w:t xml:space="preserve"> </w:t>
      </w:r>
    </w:p>
    <w:p w:rsidR="00A14258" w:rsidRDefault="00A14258" w:rsidP="00A14258">
      <w:pPr>
        <w:spacing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76CB11C" wp14:editId="7D10A8B2">
            <wp:extent cx="2643657" cy="1980000"/>
            <wp:effectExtent l="25400" t="25400" r="23495" b="26670"/>
            <wp:docPr id="10" name="Picture 10" descr="Macintosh HD:Users:fabiotironi:Desktop:CNC:Trabalhos:07- Tiro certeiro:Fotos_para_resum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biotironi:Desktop:CNC:Trabalhos:07- Tiro certeiro:Fotos_para_resum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57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F7F7F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609CAB66" wp14:editId="34100564">
            <wp:extent cx="2643657" cy="1980000"/>
            <wp:effectExtent l="25400" t="25400" r="23495" b="26670"/>
            <wp:docPr id="11" name="Picture 11" descr="Macintosh HD:Users:fabiotironi:Desktop:CNC:Trabalhos:07- Tiro certeiro:Fotos_para_resum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abiotironi:Desktop:CNC:Trabalhos:07- Tiro certeiro:Fotos_para_resumo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57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F7F7F"/>
                      </a:solidFill>
                    </a:ln>
                  </pic:spPr>
                </pic:pic>
              </a:graphicData>
            </a:graphic>
          </wp:inline>
        </w:drawing>
      </w:r>
    </w:p>
    <w:p w:rsidR="007019E1" w:rsidRDefault="00A14258" w:rsidP="00A14258">
      <w:pPr>
        <w:spacing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EC4D282" wp14:editId="65377B2F">
            <wp:extent cx="2643657" cy="1980000"/>
            <wp:effectExtent l="25400" t="25400" r="23495" b="26670"/>
            <wp:docPr id="12" name="Picture 12" descr="Macintosh HD:Users:fabiotironi:Desktop:CNC:Trabalhos:07- Tiro certeiro:Fotos_para_resum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biotironi:Desktop:CNC:Trabalhos:07- Tiro certeiro:Fotos_para_resumo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57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0C7B7AEA" wp14:editId="1927639B">
            <wp:extent cx="2643657" cy="1980000"/>
            <wp:effectExtent l="25400" t="25400" r="23495" b="26670"/>
            <wp:docPr id="13" name="Picture 13" descr="Macintosh HD:Users:fabiotironi:Desktop:CNC:Trabalhos:07- Tiro certeiro:Fotos_para_resum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abiotironi:Desktop:CNC:Trabalhos:07- Tiro certeiro:Fotos_para_resumo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57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F7F7F"/>
                      </a:solidFill>
                    </a:ln>
                  </pic:spPr>
                </pic:pic>
              </a:graphicData>
            </a:graphic>
          </wp:inline>
        </w:drawing>
      </w:r>
    </w:p>
    <w:p w:rsidR="00A14258" w:rsidRDefault="00A14258" w:rsidP="00A14258">
      <w:pPr>
        <w:spacing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72CFD52" wp14:editId="04502FC6">
            <wp:extent cx="2643657" cy="1980000"/>
            <wp:effectExtent l="25400" t="25400" r="23495" b="26670"/>
            <wp:docPr id="14" name="Picture 14" descr="Macintosh HD:Users:fabiotironi:Desktop:CNC:Trabalhos:07- Tiro certeiro:Fotos_para_resum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abiotironi:Desktop:CNC:Trabalhos:07- Tiro certeiro:Fotos_para_resumo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57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F7F7F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580998F2" wp14:editId="6CDDB372">
            <wp:extent cx="2643657" cy="1980000"/>
            <wp:effectExtent l="25400" t="25400" r="23495" b="26670"/>
            <wp:docPr id="15" name="Picture 15" descr="Macintosh HD:Users:fabiotironi:Desktop:CNC:Trabalhos:07- Tiro certeiro:Fotos_para_resum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fabiotironi:Desktop:CNC:Trabalhos:07- Tiro certeiro:Fotos_para_resumo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57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F7F7F"/>
                      </a:solidFill>
                    </a:ln>
                  </pic:spPr>
                </pic:pic>
              </a:graphicData>
            </a:graphic>
          </wp:inline>
        </w:drawing>
      </w:r>
    </w:p>
    <w:p w:rsidR="007019E1" w:rsidRPr="00FC71F5" w:rsidRDefault="007019E1" w:rsidP="00BF65C7">
      <w:pPr>
        <w:spacing w:line="240" w:lineRule="auto"/>
        <w:ind w:firstLine="851"/>
        <w:rPr>
          <w:sz w:val="22"/>
          <w:szCs w:val="22"/>
        </w:rPr>
      </w:pPr>
    </w:p>
    <w:p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:rsidR="00424FCB" w:rsidRDefault="00424FCB" w:rsidP="00424FCB">
      <w:pPr>
        <w:spacing w:line="240" w:lineRule="auto"/>
        <w:rPr>
          <w:sz w:val="22"/>
          <w:szCs w:val="22"/>
        </w:rPr>
      </w:pPr>
    </w:p>
    <w:p w:rsidR="000A71BE" w:rsidRPr="008D6C17" w:rsidRDefault="00424FCB" w:rsidP="007019E1">
      <w:pPr>
        <w:pStyle w:val="PargrafodaLista"/>
        <w:numPr>
          <w:ilvl w:val="0"/>
          <w:numId w:val="4"/>
        </w:numPr>
        <w:spacing w:line="240" w:lineRule="auto"/>
        <w:ind w:left="360"/>
        <w:rPr>
          <w:sz w:val="22"/>
          <w:szCs w:val="22"/>
        </w:rPr>
      </w:pPr>
      <w:r w:rsidRPr="007019E1">
        <w:rPr>
          <w:sz w:val="22"/>
          <w:szCs w:val="22"/>
        </w:rPr>
        <w:t>BUDGELL, B.</w:t>
      </w:r>
      <w:proofErr w:type="gramStart"/>
      <w:r w:rsidRPr="007019E1">
        <w:rPr>
          <w:sz w:val="22"/>
          <w:szCs w:val="22"/>
        </w:rPr>
        <w:t xml:space="preserve">  </w:t>
      </w:r>
      <w:proofErr w:type="spellStart"/>
      <w:proofErr w:type="gramEnd"/>
      <w:r w:rsidRPr="007019E1">
        <w:rPr>
          <w:sz w:val="22"/>
          <w:szCs w:val="22"/>
        </w:rPr>
        <w:t>Guidelines</w:t>
      </w:r>
      <w:proofErr w:type="spellEnd"/>
      <w:r w:rsidRPr="007019E1">
        <w:rPr>
          <w:sz w:val="22"/>
          <w:szCs w:val="22"/>
        </w:rPr>
        <w:t xml:space="preserve"> </w:t>
      </w:r>
      <w:proofErr w:type="spellStart"/>
      <w:r w:rsidRPr="007019E1">
        <w:rPr>
          <w:sz w:val="22"/>
          <w:szCs w:val="22"/>
        </w:rPr>
        <w:t>to</w:t>
      </w:r>
      <w:proofErr w:type="spellEnd"/>
      <w:r w:rsidRPr="007019E1">
        <w:rPr>
          <w:sz w:val="22"/>
          <w:szCs w:val="22"/>
        </w:rPr>
        <w:t xml:space="preserve"> </w:t>
      </w:r>
      <w:proofErr w:type="spellStart"/>
      <w:r w:rsidRPr="007019E1">
        <w:rPr>
          <w:sz w:val="22"/>
          <w:szCs w:val="22"/>
        </w:rPr>
        <w:t>the</w:t>
      </w:r>
      <w:proofErr w:type="spellEnd"/>
      <w:r w:rsidRPr="007019E1">
        <w:rPr>
          <w:sz w:val="22"/>
          <w:szCs w:val="22"/>
        </w:rPr>
        <w:t xml:space="preserve"> </w:t>
      </w:r>
      <w:proofErr w:type="spellStart"/>
      <w:r w:rsidRPr="007019E1">
        <w:rPr>
          <w:sz w:val="22"/>
          <w:szCs w:val="22"/>
        </w:rPr>
        <w:t>writing</w:t>
      </w:r>
      <w:proofErr w:type="spellEnd"/>
      <w:r w:rsidRPr="007019E1">
        <w:rPr>
          <w:sz w:val="22"/>
          <w:szCs w:val="22"/>
        </w:rPr>
        <w:t xml:space="preserve"> </w:t>
      </w:r>
      <w:proofErr w:type="spellStart"/>
      <w:r w:rsidRPr="007019E1">
        <w:rPr>
          <w:sz w:val="22"/>
          <w:szCs w:val="22"/>
        </w:rPr>
        <w:t>of</w:t>
      </w:r>
      <w:proofErr w:type="spellEnd"/>
      <w:r w:rsidRPr="007019E1">
        <w:rPr>
          <w:sz w:val="22"/>
          <w:szCs w:val="22"/>
        </w:rPr>
        <w:t xml:space="preserve"> case </w:t>
      </w:r>
      <w:proofErr w:type="spellStart"/>
      <w:r w:rsidRPr="007019E1">
        <w:rPr>
          <w:sz w:val="22"/>
          <w:szCs w:val="22"/>
        </w:rPr>
        <w:t>studies</w:t>
      </w:r>
      <w:proofErr w:type="spellEnd"/>
      <w:r w:rsidRPr="007019E1">
        <w:rPr>
          <w:sz w:val="22"/>
          <w:szCs w:val="22"/>
        </w:rPr>
        <w:t xml:space="preserve">. </w:t>
      </w:r>
      <w:r w:rsidRPr="000F31AB">
        <w:rPr>
          <w:i/>
          <w:sz w:val="22"/>
          <w:szCs w:val="22"/>
        </w:rPr>
        <w:t xml:space="preserve">J </w:t>
      </w:r>
      <w:proofErr w:type="spellStart"/>
      <w:r w:rsidRPr="000F31AB">
        <w:rPr>
          <w:i/>
          <w:sz w:val="22"/>
          <w:szCs w:val="22"/>
        </w:rPr>
        <w:t>Can</w:t>
      </w:r>
      <w:proofErr w:type="spellEnd"/>
      <w:r w:rsidRPr="000F31AB">
        <w:rPr>
          <w:i/>
          <w:sz w:val="22"/>
          <w:szCs w:val="22"/>
        </w:rPr>
        <w:t xml:space="preserve"> </w:t>
      </w:r>
      <w:proofErr w:type="spellStart"/>
      <w:r w:rsidRPr="000F31AB">
        <w:rPr>
          <w:i/>
          <w:sz w:val="22"/>
          <w:szCs w:val="22"/>
        </w:rPr>
        <w:t>Chiropr</w:t>
      </w:r>
      <w:proofErr w:type="spellEnd"/>
      <w:r w:rsidRPr="000F31AB">
        <w:rPr>
          <w:i/>
          <w:sz w:val="22"/>
          <w:szCs w:val="22"/>
        </w:rPr>
        <w:t xml:space="preserve"> </w:t>
      </w:r>
      <w:proofErr w:type="spellStart"/>
      <w:r w:rsidRPr="000F31AB">
        <w:rPr>
          <w:i/>
          <w:sz w:val="22"/>
          <w:szCs w:val="22"/>
        </w:rPr>
        <w:t>Assoc</w:t>
      </w:r>
      <w:proofErr w:type="spellEnd"/>
      <w:r w:rsidR="000F31AB">
        <w:rPr>
          <w:sz w:val="22"/>
          <w:szCs w:val="22"/>
        </w:rPr>
        <w:t>, v. 52, n. 4, p. 199-204,</w:t>
      </w:r>
      <w:r w:rsidRPr="007019E1">
        <w:rPr>
          <w:sz w:val="22"/>
          <w:szCs w:val="22"/>
        </w:rPr>
        <w:t xml:space="preserve"> 2008.</w:t>
      </w:r>
    </w:p>
    <w:p w:rsidR="00DE738B" w:rsidRPr="008D6C17" w:rsidRDefault="007019E1" w:rsidP="007019E1">
      <w:pPr>
        <w:pStyle w:val="PargrafodaLista"/>
        <w:numPr>
          <w:ilvl w:val="0"/>
          <w:numId w:val="4"/>
        </w:numPr>
        <w:spacing w:line="240" w:lineRule="auto"/>
        <w:ind w:left="360"/>
        <w:rPr>
          <w:sz w:val="22"/>
          <w:szCs w:val="22"/>
        </w:rPr>
      </w:pPr>
      <w:r w:rsidRPr="007019E1">
        <w:rPr>
          <w:sz w:val="22"/>
          <w:szCs w:val="22"/>
        </w:rPr>
        <w:t>DETTMEYER, R. B.; SCHUTZ</w:t>
      </w:r>
      <w:r w:rsidR="00DE738B" w:rsidRPr="007019E1">
        <w:rPr>
          <w:sz w:val="22"/>
          <w:szCs w:val="22"/>
        </w:rPr>
        <w:t xml:space="preserve">, H. F.; VERHOFF, M. A. </w:t>
      </w:r>
      <w:proofErr w:type="spellStart"/>
      <w:r w:rsidR="00DE738B" w:rsidRPr="000F31AB">
        <w:rPr>
          <w:sz w:val="22"/>
          <w:szCs w:val="22"/>
        </w:rPr>
        <w:t>Forensic</w:t>
      </w:r>
      <w:proofErr w:type="spellEnd"/>
      <w:r w:rsidR="00DE738B" w:rsidRPr="000F31AB">
        <w:rPr>
          <w:sz w:val="22"/>
          <w:szCs w:val="22"/>
        </w:rPr>
        <w:t xml:space="preserve"> Medicine</w:t>
      </w:r>
      <w:r w:rsidR="00DE738B" w:rsidRPr="007019E1">
        <w:rPr>
          <w:sz w:val="22"/>
          <w:szCs w:val="22"/>
        </w:rPr>
        <w:t>. Ed. Springer-</w:t>
      </w:r>
      <w:proofErr w:type="spellStart"/>
      <w:r w:rsidR="00DE738B" w:rsidRPr="007019E1">
        <w:rPr>
          <w:sz w:val="22"/>
          <w:szCs w:val="22"/>
        </w:rPr>
        <w:t>Verlag</w:t>
      </w:r>
      <w:proofErr w:type="spellEnd"/>
      <w:r w:rsidR="00DE738B" w:rsidRPr="007019E1">
        <w:rPr>
          <w:sz w:val="22"/>
          <w:szCs w:val="22"/>
        </w:rPr>
        <w:t>. Berlin Heidelberg, 2014.</w:t>
      </w:r>
    </w:p>
    <w:p w:rsidR="00C03FB1" w:rsidRPr="008D6C17" w:rsidRDefault="00C03FB1" w:rsidP="007019E1">
      <w:pPr>
        <w:pStyle w:val="PargrafodaLista"/>
        <w:numPr>
          <w:ilvl w:val="0"/>
          <w:numId w:val="4"/>
        </w:numPr>
        <w:spacing w:line="240" w:lineRule="auto"/>
        <w:ind w:left="360"/>
        <w:rPr>
          <w:sz w:val="22"/>
          <w:szCs w:val="22"/>
        </w:rPr>
      </w:pPr>
      <w:r w:rsidRPr="007019E1">
        <w:rPr>
          <w:sz w:val="22"/>
          <w:szCs w:val="22"/>
        </w:rPr>
        <w:t xml:space="preserve">MEYERS, R. The </w:t>
      </w:r>
      <w:proofErr w:type="spellStart"/>
      <w:r w:rsidRPr="007019E1">
        <w:rPr>
          <w:sz w:val="22"/>
          <w:szCs w:val="22"/>
        </w:rPr>
        <w:t>Woman</w:t>
      </w:r>
      <w:proofErr w:type="spellEnd"/>
      <w:r w:rsidRPr="007019E1">
        <w:rPr>
          <w:sz w:val="22"/>
          <w:szCs w:val="22"/>
        </w:rPr>
        <w:t xml:space="preserve"> Who </w:t>
      </w:r>
      <w:proofErr w:type="spellStart"/>
      <w:r w:rsidRPr="007019E1">
        <w:rPr>
          <w:sz w:val="22"/>
          <w:szCs w:val="22"/>
        </w:rPr>
        <w:t>Swallowed</w:t>
      </w:r>
      <w:proofErr w:type="spellEnd"/>
      <w:r w:rsidRPr="007019E1">
        <w:rPr>
          <w:sz w:val="22"/>
          <w:szCs w:val="22"/>
        </w:rPr>
        <w:t xml:space="preserve"> a </w:t>
      </w:r>
      <w:proofErr w:type="spellStart"/>
      <w:r w:rsidRPr="007019E1">
        <w:rPr>
          <w:sz w:val="22"/>
          <w:szCs w:val="22"/>
        </w:rPr>
        <w:t>Toothbrush</w:t>
      </w:r>
      <w:proofErr w:type="spellEnd"/>
      <w:r w:rsidRPr="007019E1">
        <w:rPr>
          <w:sz w:val="22"/>
          <w:szCs w:val="22"/>
        </w:rPr>
        <w:t xml:space="preserve"> - And </w:t>
      </w:r>
      <w:proofErr w:type="spellStart"/>
      <w:r w:rsidRPr="007019E1">
        <w:rPr>
          <w:sz w:val="22"/>
          <w:szCs w:val="22"/>
        </w:rPr>
        <w:t>Other</w:t>
      </w:r>
      <w:proofErr w:type="spellEnd"/>
      <w:r w:rsidRPr="007019E1">
        <w:rPr>
          <w:sz w:val="22"/>
          <w:szCs w:val="22"/>
        </w:rPr>
        <w:t xml:space="preserve"> </w:t>
      </w:r>
      <w:proofErr w:type="spellStart"/>
      <w:r w:rsidRPr="007019E1">
        <w:rPr>
          <w:sz w:val="22"/>
          <w:szCs w:val="22"/>
        </w:rPr>
        <w:t>Weird</w:t>
      </w:r>
      <w:proofErr w:type="spellEnd"/>
      <w:r w:rsidRPr="007019E1">
        <w:rPr>
          <w:sz w:val="22"/>
          <w:szCs w:val="22"/>
        </w:rPr>
        <w:t xml:space="preserve"> Medical Case Histories. ECW Press, Toronto, Canada, 2003.</w:t>
      </w:r>
    </w:p>
    <w:p w:rsidR="000A71BE" w:rsidRPr="008D6C17" w:rsidRDefault="000A71BE" w:rsidP="007019E1">
      <w:pPr>
        <w:pStyle w:val="PargrafodaLista"/>
        <w:numPr>
          <w:ilvl w:val="0"/>
          <w:numId w:val="4"/>
        </w:numPr>
        <w:spacing w:line="240" w:lineRule="auto"/>
        <w:ind w:left="360"/>
        <w:rPr>
          <w:sz w:val="22"/>
          <w:szCs w:val="22"/>
        </w:rPr>
      </w:pPr>
      <w:r w:rsidRPr="007019E1">
        <w:rPr>
          <w:sz w:val="22"/>
          <w:szCs w:val="22"/>
        </w:rPr>
        <w:t xml:space="preserve">RISON, R. A. A </w:t>
      </w:r>
      <w:proofErr w:type="spellStart"/>
      <w:r w:rsidRPr="007019E1">
        <w:rPr>
          <w:sz w:val="22"/>
          <w:szCs w:val="22"/>
        </w:rPr>
        <w:t>guide</w:t>
      </w:r>
      <w:proofErr w:type="spellEnd"/>
      <w:r w:rsidRPr="007019E1">
        <w:rPr>
          <w:sz w:val="22"/>
          <w:szCs w:val="22"/>
        </w:rPr>
        <w:t xml:space="preserve"> </w:t>
      </w:r>
      <w:proofErr w:type="spellStart"/>
      <w:r w:rsidRPr="007019E1">
        <w:rPr>
          <w:sz w:val="22"/>
          <w:szCs w:val="22"/>
        </w:rPr>
        <w:t>to</w:t>
      </w:r>
      <w:proofErr w:type="spellEnd"/>
      <w:r w:rsidRPr="007019E1">
        <w:rPr>
          <w:sz w:val="22"/>
          <w:szCs w:val="22"/>
        </w:rPr>
        <w:t xml:space="preserve"> </w:t>
      </w:r>
      <w:proofErr w:type="spellStart"/>
      <w:r w:rsidRPr="007019E1">
        <w:rPr>
          <w:sz w:val="22"/>
          <w:szCs w:val="22"/>
        </w:rPr>
        <w:t>writing</w:t>
      </w:r>
      <w:proofErr w:type="spellEnd"/>
      <w:r w:rsidRPr="007019E1">
        <w:rPr>
          <w:sz w:val="22"/>
          <w:szCs w:val="22"/>
        </w:rPr>
        <w:t xml:space="preserve"> case </w:t>
      </w:r>
      <w:proofErr w:type="spellStart"/>
      <w:r w:rsidRPr="007019E1">
        <w:rPr>
          <w:sz w:val="22"/>
          <w:szCs w:val="22"/>
        </w:rPr>
        <w:t>reports</w:t>
      </w:r>
      <w:proofErr w:type="spellEnd"/>
      <w:r w:rsidRPr="007019E1">
        <w:rPr>
          <w:sz w:val="22"/>
          <w:szCs w:val="22"/>
        </w:rPr>
        <w:t xml:space="preserve"> for </w:t>
      </w:r>
      <w:proofErr w:type="spellStart"/>
      <w:r w:rsidRPr="007019E1">
        <w:rPr>
          <w:sz w:val="22"/>
          <w:szCs w:val="22"/>
        </w:rPr>
        <w:t>the</w:t>
      </w:r>
      <w:proofErr w:type="spellEnd"/>
      <w:r w:rsidRPr="007019E1">
        <w:rPr>
          <w:sz w:val="22"/>
          <w:szCs w:val="22"/>
        </w:rPr>
        <w:t xml:space="preserve"> </w:t>
      </w:r>
      <w:proofErr w:type="spellStart"/>
      <w:r w:rsidRPr="007019E1">
        <w:rPr>
          <w:sz w:val="22"/>
          <w:szCs w:val="22"/>
        </w:rPr>
        <w:t>Journal</w:t>
      </w:r>
      <w:proofErr w:type="spellEnd"/>
      <w:r w:rsidRPr="007019E1">
        <w:rPr>
          <w:sz w:val="22"/>
          <w:szCs w:val="22"/>
        </w:rPr>
        <w:t xml:space="preserve"> </w:t>
      </w:r>
      <w:proofErr w:type="spellStart"/>
      <w:r w:rsidRPr="007019E1">
        <w:rPr>
          <w:sz w:val="22"/>
          <w:szCs w:val="22"/>
        </w:rPr>
        <w:t>of</w:t>
      </w:r>
      <w:proofErr w:type="spellEnd"/>
      <w:r w:rsidRPr="007019E1">
        <w:rPr>
          <w:sz w:val="22"/>
          <w:szCs w:val="22"/>
        </w:rPr>
        <w:t xml:space="preserve"> Medical Case </w:t>
      </w:r>
      <w:proofErr w:type="spellStart"/>
      <w:r w:rsidRPr="007019E1">
        <w:rPr>
          <w:sz w:val="22"/>
          <w:szCs w:val="22"/>
        </w:rPr>
        <w:t>Reports</w:t>
      </w:r>
      <w:proofErr w:type="spellEnd"/>
      <w:r w:rsidRPr="007019E1">
        <w:rPr>
          <w:sz w:val="22"/>
          <w:szCs w:val="22"/>
        </w:rPr>
        <w:t xml:space="preserve"> and </w:t>
      </w:r>
      <w:proofErr w:type="spellStart"/>
      <w:proofErr w:type="gramStart"/>
      <w:r w:rsidRPr="007019E1">
        <w:rPr>
          <w:sz w:val="22"/>
          <w:szCs w:val="22"/>
        </w:rPr>
        <w:t>BioMed</w:t>
      </w:r>
      <w:proofErr w:type="spellEnd"/>
      <w:proofErr w:type="gramEnd"/>
      <w:r w:rsidRPr="007019E1">
        <w:rPr>
          <w:sz w:val="22"/>
          <w:szCs w:val="22"/>
        </w:rPr>
        <w:t xml:space="preserve"> Central </w:t>
      </w:r>
      <w:proofErr w:type="spellStart"/>
      <w:r w:rsidRPr="007019E1">
        <w:rPr>
          <w:sz w:val="22"/>
          <w:szCs w:val="22"/>
        </w:rPr>
        <w:t>Research</w:t>
      </w:r>
      <w:proofErr w:type="spellEnd"/>
      <w:r w:rsidRPr="007019E1">
        <w:rPr>
          <w:sz w:val="22"/>
          <w:szCs w:val="22"/>
        </w:rPr>
        <w:t xml:space="preserve"> Notes. </w:t>
      </w:r>
      <w:proofErr w:type="spellStart"/>
      <w:r w:rsidRPr="007019E1">
        <w:rPr>
          <w:i/>
          <w:sz w:val="22"/>
          <w:szCs w:val="22"/>
        </w:rPr>
        <w:t>Journal</w:t>
      </w:r>
      <w:proofErr w:type="spellEnd"/>
      <w:r w:rsidRPr="007019E1">
        <w:rPr>
          <w:i/>
          <w:sz w:val="22"/>
          <w:szCs w:val="22"/>
        </w:rPr>
        <w:t xml:space="preserve"> </w:t>
      </w:r>
      <w:proofErr w:type="spellStart"/>
      <w:r w:rsidRPr="007019E1">
        <w:rPr>
          <w:i/>
          <w:sz w:val="22"/>
          <w:szCs w:val="22"/>
        </w:rPr>
        <w:t>of</w:t>
      </w:r>
      <w:proofErr w:type="spellEnd"/>
      <w:r w:rsidRPr="007019E1">
        <w:rPr>
          <w:i/>
          <w:sz w:val="22"/>
          <w:szCs w:val="22"/>
        </w:rPr>
        <w:t xml:space="preserve"> Medical Case </w:t>
      </w:r>
      <w:proofErr w:type="spellStart"/>
      <w:r w:rsidRPr="007019E1">
        <w:rPr>
          <w:i/>
          <w:sz w:val="22"/>
          <w:szCs w:val="22"/>
        </w:rPr>
        <w:t>Reports</w:t>
      </w:r>
      <w:proofErr w:type="spellEnd"/>
      <w:r w:rsidR="00FC1B3F" w:rsidRPr="007019E1">
        <w:rPr>
          <w:sz w:val="22"/>
          <w:szCs w:val="22"/>
        </w:rPr>
        <w:t xml:space="preserve">, v. 7, p. </w:t>
      </w:r>
      <w:r w:rsidRPr="007019E1">
        <w:rPr>
          <w:sz w:val="22"/>
          <w:szCs w:val="22"/>
        </w:rPr>
        <w:t>239</w:t>
      </w:r>
      <w:r w:rsidR="00FC1B3F" w:rsidRPr="007019E1">
        <w:rPr>
          <w:sz w:val="22"/>
          <w:szCs w:val="22"/>
        </w:rPr>
        <w:t>, 2013.</w:t>
      </w:r>
    </w:p>
    <w:p w:rsidR="001D2633" w:rsidRPr="007019E1" w:rsidRDefault="000A71BE" w:rsidP="007019E1">
      <w:pPr>
        <w:pStyle w:val="PargrafodaLista"/>
        <w:numPr>
          <w:ilvl w:val="0"/>
          <w:numId w:val="4"/>
        </w:numPr>
        <w:spacing w:line="240" w:lineRule="auto"/>
        <w:ind w:left="360"/>
        <w:rPr>
          <w:sz w:val="22"/>
          <w:szCs w:val="22"/>
        </w:rPr>
      </w:pPr>
      <w:proofErr w:type="spellStart"/>
      <w:r w:rsidRPr="007019E1">
        <w:rPr>
          <w:sz w:val="22"/>
          <w:szCs w:val="22"/>
        </w:rPr>
        <w:t>Weblink</w:t>
      </w:r>
      <w:proofErr w:type="spellEnd"/>
      <w:r w:rsidRPr="007019E1">
        <w:rPr>
          <w:sz w:val="22"/>
          <w:szCs w:val="22"/>
        </w:rPr>
        <w:t>: “</w:t>
      </w:r>
      <w:hyperlink r:id="rId15" w:history="1">
        <w:r w:rsidRPr="007019E1">
          <w:rPr>
            <w:sz w:val="22"/>
            <w:szCs w:val="22"/>
          </w:rPr>
          <w:t>http://www.jmedicalcasereports.com/</w:t>
        </w:r>
      </w:hyperlink>
      <w:r w:rsidR="0097788C">
        <w:rPr>
          <w:sz w:val="22"/>
          <w:szCs w:val="22"/>
        </w:rPr>
        <w:t>”.</w:t>
      </w:r>
    </w:p>
    <w:sectPr w:rsidR="001D2633" w:rsidRPr="007019E1" w:rsidSect="003037F9">
      <w:headerReference w:type="default" r:id="rId16"/>
      <w:footerReference w:type="default" r:id="rId17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8B" w:rsidRDefault="000D1D8B" w:rsidP="003752F7">
      <w:pPr>
        <w:spacing w:line="240" w:lineRule="auto"/>
      </w:pPr>
      <w:r>
        <w:separator/>
      </w:r>
    </w:p>
  </w:endnote>
  <w:endnote w:type="continuationSeparator" w:id="0">
    <w:p w:rsidR="000D1D8B" w:rsidRDefault="000D1D8B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036CD" w:rsidRPr="003752F7" w:rsidRDefault="003036CD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C5548B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3036CD" w:rsidRDefault="003036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8B" w:rsidRDefault="000D1D8B" w:rsidP="003752F7">
      <w:pPr>
        <w:spacing w:line="240" w:lineRule="auto"/>
      </w:pPr>
      <w:r>
        <w:separator/>
      </w:r>
    </w:p>
  </w:footnote>
  <w:footnote w:type="continuationSeparator" w:id="0">
    <w:p w:rsidR="000D1D8B" w:rsidRDefault="000D1D8B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CD" w:rsidRDefault="003036CD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 xml:space="preserve">rnacional de Perícia Criminal </w:t>
    </w:r>
    <w:proofErr w:type="gramStart"/>
    <w:r>
      <w:rPr>
        <w:bCs/>
        <w:sz w:val="22"/>
        <w:szCs w:val="22"/>
      </w:rPr>
      <w:t>e</w:t>
    </w:r>
    <w:proofErr w:type="gramEnd"/>
  </w:p>
  <w:p w:rsidR="003036CD" w:rsidRPr="0056168D" w:rsidRDefault="003036CD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3036CD" w:rsidRDefault="003036CD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3036CD" w:rsidRPr="006762AA" w:rsidRDefault="003036CD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BEB"/>
    <w:multiLevelType w:val="hybridMultilevel"/>
    <w:tmpl w:val="AC908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4231"/>
    <w:rsid w:val="00026BC8"/>
    <w:rsid w:val="00042E0A"/>
    <w:rsid w:val="00043C0D"/>
    <w:rsid w:val="00051A3B"/>
    <w:rsid w:val="00053737"/>
    <w:rsid w:val="00053FCD"/>
    <w:rsid w:val="00063463"/>
    <w:rsid w:val="00080175"/>
    <w:rsid w:val="00081440"/>
    <w:rsid w:val="00090BA6"/>
    <w:rsid w:val="000A71BE"/>
    <w:rsid w:val="000B38F5"/>
    <w:rsid w:val="000C67DF"/>
    <w:rsid w:val="000C6C07"/>
    <w:rsid w:val="000D1D8B"/>
    <w:rsid w:val="000D64F7"/>
    <w:rsid w:val="000E490F"/>
    <w:rsid w:val="000E62DA"/>
    <w:rsid w:val="000F31AB"/>
    <w:rsid w:val="001052AA"/>
    <w:rsid w:val="00115C7E"/>
    <w:rsid w:val="0012394C"/>
    <w:rsid w:val="00123D94"/>
    <w:rsid w:val="001451DD"/>
    <w:rsid w:val="0015364A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F5735"/>
    <w:rsid w:val="001F5CB2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A588A"/>
    <w:rsid w:val="002C1772"/>
    <w:rsid w:val="002C1DE6"/>
    <w:rsid w:val="002C5AA2"/>
    <w:rsid w:val="002F7B50"/>
    <w:rsid w:val="003036CD"/>
    <w:rsid w:val="003037F9"/>
    <w:rsid w:val="003212D0"/>
    <w:rsid w:val="0032165A"/>
    <w:rsid w:val="00334F29"/>
    <w:rsid w:val="0034706C"/>
    <w:rsid w:val="00353468"/>
    <w:rsid w:val="00357D88"/>
    <w:rsid w:val="00372A5D"/>
    <w:rsid w:val="003752F7"/>
    <w:rsid w:val="0037720B"/>
    <w:rsid w:val="00382120"/>
    <w:rsid w:val="003928AB"/>
    <w:rsid w:val="00397A43"/>
    <w:rsid w:val="003D455E"/>
    <w:rsid w:val="003E761E"/>
    <w:rsid w:val="003F0931"/>
    <w:rsid w:val="003F6A7C"/>
    <w:rsid w:val="00423161"/>
    <w:rsid w:val="00424FCB"/>
    <w:rsid w:val="00425FB9"/>
    <w:rsid w:val="004261B2"/>
    <w:rsid w:val="004264DD"/>
    <w:rsid w:val="00442AB9"/>
    <w:rsid w:val="00460049"/>
    <w:rsid w:val="004600AE"/>
    <w:rsid w:val="00460CF2"/>
    <w:rsid w:val="00473BD3"/>
    <w:rsid w:val="00474F95"/>
    <w:rsid w:val="004817DB"/>
    <w:rsid w:val="00486A9E"/>
    <w:rsid w:val="00491EA9"/>
    <w:rsid w:val="00497B80"/>
    <w:rsid w:val="004A1F23"/>
    <w:rsid w:val="004B1A67"/>
    <w:rsid w:val="004D63F0"/>
    <w:rsid w:val="004D6CE8"/>
    <w:rsid w:val="004D7262"/>
    <w:rsid w:val="004E1122"/>
    <w:rsid w:val="004F21E1"/>
    <w:rsid w:val="004F5506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75EF"/>
    <w:rsid w:val="006028E9"/>
    <w:rsid w:val="006044B2"/>
    <w:rsid w:val="00606784"/>
    <w:rsid w:val="006347BF"/>
    <w:rsid w:val="006378FF"/>
    <w:rsid w:val="006431A8"/>
    <w:rsid w:val="00644430"/>
    <w:rsid w:val="00647C59"/>
    <w:rsid w:val="00647C62"/>
    <w:rsid w:val="0065142A"/>
    <w:rsid w:val="006640E8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569"/>
    <w:rsid w:val="006D18B3"/>
    <w:rsid w:val="006D26FC"/>
    <w:rsid w:val="006D4BC8"/>
    <w:rsid w:val="006E3323"/>
    <w:rsid w:val="006E33F4"/>
    <w:rsid w:val="006E4FEA"/>
    <w:rsid w:val="006E7F6F"/>
    <w:rsid w:val="006F43BE"/>
    <w:rsid w:val="006F6671"/>
    <w:rsid w:val="007019E1"/>
    <w:rsid w:val="00704CD3"/>
    <w:rsid w:val="007148BD"/>
    <w:rsid w:val="00733C52"/>
    <w:rsid w:val="00734E3C"/>
    <w:rsid w:val="00746985"/>
    <w:rsid w:val="00755A52"/>
    <w:rsid w:val="0078302E"/>
    <w:rsid w:val="00783AFD"/>
    <w:rsid w:val="00784AD1"/>
    <w:rsid w:val="0079623C"/>
    <w:rsid w:val="007A109C"/>
    <w:rsid w:val="007C522E"/>
    <w:rsid w:val="007D0DBB"/>
    <w:rsid w:val="007E2E1A"/>
    <w:rsid w:val="007E355A"/>
    <w:rsid w:val="0080108D"/>
    <w:rsid w:val="008039FA"/>
    <w:rsid w:val="00804B34"/>
    <w:rsid w:val="00811620"/>
    <w:rsid w:val="00813F18"/>
    <w:rsid w:val="00817160"/>
    <w:rsid w:val="00821CAD"/>
    <w:rsid w:val="00824730"/>
    <w:rsid w:val="00832F16"/>
    <w:rsid w:val="00833001"/>
    <w:rsid w:val="008572CF"/>
    <w:rsid w:val="00857E91"/>
    <w:rsid w:val="00860EDC"/>
    <w:rsid w:val="008949B2"/>
    <w:rsid w:val="008B5B05"/>
    <w:rsid w:val="008D1821"/>
    <w:rsid w:val="008D2269"/>
    <w:rsid w:val="008D6C17"/>
    <w:rsid w:val="008D7AB4"/>
    <w:rsid w:val="008E2991"/>
    <w:rsid w:val="008F4C1B"/>
    <w:rsid w:val="009020E6"/>
    <w:rsid w:val="00910D22"/>
    <w:rsid w:val="009217B6"/>
    <w:rsid w:val="00931531"/>
    <w:rsid w:val="00941837"/>
    <w:rsid w:val="00950EFD"/>
    <w:rsid w:val="00952105"/>
    <w:rsid w:val="00973188"/>
    <w:rsid w:val="0097788C"/>
    <w:rsid w:val="00987E5E"/>
    <w:rsid w:val="009A202B"/>
    <w:rsid w:val="009A2379"/>
    <w:rsid w:val="009A5F55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11B7B"/>
    <w:rsid w:val="00A14258"/>
    <w:rsid w:val="00A30721"/>
    <w:rsid w:val="00A37102"/>
    <w:rsid w:val="00A42AE5"/>
    <w:rsid w:val="00A47D1C"/>
    <w:rsid w:val="00A51761"/>
    <w:rsid w:val="00A5398B"/>
    <w:rsid w:val="00A6702D"/>
    <w:rsid w:val="00A81023"/>
    <w:rsid w:val="00A9079D"/>
    <w:rsid w:val="00A9585D"/>
    <w:rsid w:val="00AB0C73"/>
    <w:rsid w:val="00AE4966"/>
    <w:rsid w:val="00AE583C"/>
    <w:rsid w:val="00AF0BDD"/>
    <w:rsid w:val="00B00282"/>
    <w:rsid w:val="00B008DD"/>
    <w:rsid w:val="00B145C5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83A6E"/>
    <w:rsid w:val="00BA23C0"/>
    <w:rsid w:val="00BA44CE"/>
    <w:rsid w:val="00BD2918"/>
    <w:rsid w:val="00BF6353"/>
    <w:rsid w:val="00BF65C7"/>
    <w:rsid w:val="00C03FB1"/>
    <w:rsid w:val="00C11825"/>
    <w:rsid w:val="00C1748C"/>
    <w:rsid w:val="00C26C44"/>
    <w:rsid w:val="00C5548B"/>
    <w:rsid w:val="00C630D3"/>
    <w:rsid w:val="00C63340"/>
    <w:rsid w:val="00C86D3A"/>
    <w:rsid w:val="00C92FC6"/>
    <w:rsid w:val="00C92FFA"/>
    <w:rsid w:val="00C97A2F"/>
    <w:rsid w:val="00CA46C4"/>
    <w:rsid w:val="00CA7450"/>
    <w:rsid w:val="00CB5D07"/>
    <w:rsid w:val="00CC0AEB"/>
    <w:rsid w:val="00CC6B7D"/>
    <w:rsid w:val="00CC7593"/>
    <w:rsid w:val="00CC7AA9"/>
    <w:rsid w:val="00CE4C43"/>
    <w:rsid w:val="00CE6D58"/>
    <w:rsid w:val="00CF0B20"/>
    <w:rsid w:val="00CF3290"/>
    <w:rsid w:val="00CF5D2A"/>
    <w:rsid w:val="00D026FA"/>
    <w:rsid w:val="00D03AB2"/>
    <w:rsid w:val="00D07C04"/>
    <w:rsid w:val="00D16A5A"/>
    <w:rsid w:val="00D31E9E"/>
    <w:rsid w:val="00D348C0"/>
    <w:rsid w:val="00D46A4D"/>
    <w:rsid w:val="00D55EBC"/>
    <w:rsid w:val="00D6094C"/>
    <w:rsid w:val="00D66DB9"/>
    <w:rsid w:val="00D7559F"/>
    <w:rsid w:val="00D83186"/>
    <w:rsid w:val="00D85888"/>
    <w:rsid w:val="00DB24BC"/>
    <w:rsid w:val="00DB64DF"/>
    <w:rsid w:val="00DC0E24"/>
    <w:rsid w:val="00DD690F"/>
    <w:rsid w:val="00DE2ADD"/>
    <w:rsid w:val="00DE738B"/>
    <w:rsid w:val="00DF1472"/>
    <w:rsid w:val="00DF7C5F"/>
    <w:rsid w:val="00E04523"/>
    <w:rsid w:val="00E06A44"/>
    <w:rsid w:val="00E30AA9"/>
    <w:rsid w:val="00E573A1"/>
    <w:rsid w:val="00E65FFC"/>
    <w:rsid w:val="00E97951"/>
    <w:rsid w:val="00E979DF"/>
    <w:rsid w:val="00EA3AA3"/>
    <w:rsid w:val="00EA47BE"/>
    <w:rsid w:val="00EA4AD4"/>
    <w:rsid w:val="00EB5B25"/>
    <w:rsid w:val="00EC6C1D"/>
    <w:rsid w:val="00EE1D0F"/>
    <w:rsid w:val="00EE266E"/>
    <w:rsid w:val="00EE70EE"/>
    <w:rsid w:val="00F01E10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721B0"/>
    <w:rsid w:val="00F80A2A"/>
    <w:rsid w:val="00F90DCE"/>
    <w:rsid w:val="00FB34C0"/>
    <w:rsid w:val="00FB6D6C"/>
    <w:rsid w:val="00FC1B3F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jmedicalcasereports.com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35D1C-92E0-41D4-83AF-B2645495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2017-07-19T21:10:00Z</dcterms:created>
  <dcterms:modified xsi:type="dcterms:W3CDTF">2017-07-19T21:10:00Z</dcterms:modified>
</cp:coreProperties>
</file>