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A6" w:rsidRDefault="00DA32FB">
      <w:pPr>
        <w:pStyle w:val="Standard"/>
        <w:spacing w:line="240" w:lineRule="auto"/>
        <w:jc w:val="center"/>
      </w:pPr>
      <w:r>
        <w:rPr>
          <w:b/>
        </w:rPr>
        <w:t>Protocolo DVI Interpol Odontológico para</w:t>
      </w:r>
      <w:r>
        <w:rPr>
          <w:b/>
        </w:rPr>
        <w:t xml:space="preserve"> identificação de vítimas de desastres em massa</w:t>
      </w:r>
    </w:p>
    <w:p w:rsidR="00F96FA6" w:rsidRDefault="00F96FA6">
      <w:pPr>
        <w:pStyle w:val="Standard"/>
        <w:spacing w:line="240" w:lineRule="auto"/>
        <w:jc w:val="left"/>
      </w:pPr>
    </w:p>
    <w:p w:rsidR="00F96FA6" w:rsidRDefault="00F96FA6">
      <w:pPr>
        <w:pStyle w:val="Standard"/>
        <w:spacing w:line="240" w:lineRule="auto"/>
        <w:jc w:val="center"/>
      </w:pPr>
      <w:bookmarkStart w:id="0" w:name="_GoBack"/>
      <w:bookmarkEnd w:id="0"/>
    </w:p>
    <w:p w:rsidR="00F96FA6" w:rsidRDefault="00DA32FB">
      <w:pPr>
        <w:pStyle w:val="Standard"/>
        <w:spacing w:line="240" w:lineRule="auto"/>
        <w:ind w:firstLine="851"/>
      </w:pPr>
      <w:r>
        <w:rPr>
          <w:sz w:val="22"/>
          <w:szCs w:val="22"/>
          <w:lang w:val="en-US"/>
        </w:rPr>
        <w:t>O objetivo deste trabalho é apresentar</w:t>
      </w:r>
      <w:r>
        <w:rPr>
          <w:sz w:val="22"/>
          <w:szCs w:val="22"/>
          <w:lang w:val="en-US"/>
        </w:rPr>
        <w:t xml:space="preserve"> o protocolo DVI Interpol para organização de dados na indentificação de vítimas de desastres em massa especificamente no que se refere à identificação realizada pelo odontolegist</w:t>
      </w:r>
      <w:r>
        <w:rPr>
          <w:sz w:val="22"/>
          <w:szCs w:val="22"/>
          <w:lang w:val="en-US"/>
        </w:rPr>
        <w:t>a.</w:t>
      </w:r>
      <w:r>
        <w:rPr>
          <w:sz w:val="22"/>
          <w:szCs w:val="22"/>
        </w:rPr>
        <w:t xml:space="preserve"> O protocolo Interpol é de fácil execução e possui grande alcance mundial pois a Interpol está presente em mais de 190 países.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Segundo o Guidance on Dealing with Fatalities in Emergencies, um desastre em massa se define por qualquer situação onde o númer</w:t>
      </w:r>
      <w:r>
        <w:rPr>
          <w:sz w:val="22"/>
          <w:szCs w:val="22"/>
        </w:rPr>
        <w:t>o de vítimas fatais é maior do que a capacidade local de gerenciamento.   O Brasil é um país de grandes proporções geográficas e populacionais, por esta razão é de risco aumentado para desastres em massa. Uma das dificuldades em identificação de vítimas, é</w:t>
      </w:r>
      <w:r>
        <w:rPr>
          <w:sz w:val="22"/>
          <w:szCs w:val="22"/>
        </w:rPr>
        <w:t xml:space="preserve"> a falta de profissional treinado e capacitado. Legalmente, qualquer  cirurgião-dentista pode participar do processo de identificação de vítimas em caso de desastres (Murillo M. LEITE, 2011), mas é importante que os profissionais da área mantenham-se infor</w:t>
      </w:r>
      <w:r>
        <w:rPr>
          <w:sz w:val="22"/>
          <w:szCs w:val="22"/>
        </w:rPr>
        <w:t>mados sobre a metodologia utilizada para não comprometer a integridade do processo.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Embora outros protocolos possuam recomendações padronizadas para a identificação odontológica (Mass Fatality Incidents: Guide for Human Forensic Identification, 2005. pági</w:t>
      </w:r>
      <w:r>
        <w:rPr>
          <w:sz w:val="22"/>
          <w:szCs w:val="22"/>
        </w:rPr>
        <w:t>na 37) ou ainda critérios e recomendações expressas de se manter um profissional odontolegista durante investigações (Guidance on dealing with fatalities in emergencies, 2004. Página 12). O DVI possui um guia e formulários de preenchimento muito claros e o</w:t>
      </w:r>
      <w:r>
        <w:rPr>
          <w:sz w:val="22"/>
          <w:szCs w:val="22"/>
        </w:rPr>
        <w:t>bjetivos, traduzidos em diversos idiomas e disponíveis em site da Interpol, com a finalidade de garantir uma comunicação limpa e direta entre governos e autoridades(Interpol DVI Guide, 2014).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Os campos destinados ao odontolegista nos formulários DVI são os</w:t>
      </w:r>
      <w:r>
        <w:rPr>
          <w:sz w:val="22"/>
          <w:szCs w:val="22"/>
        </w:rPr>
        <w:t xml:space="preserve"> 600’s nos formulários amarelo (</w:t>
      </w:r>
      <w:r>
        <w:rPr>
          <w:i/>
          <w:iCs/>
          <w:sz w:val="22"/>
          <w:szCs w:val="22"/>
        </w:rPr>
        <w:t>ante mortem</w:t>
      </w:r>
      <w:r>
        <w:rPr>
          <w:sz w:val="22"/>
          <w:szCs w:val="22"/>
        </w:rPr>
        <w:t>) e rosa(</w:t>
      </w:r>
      <w:r>
        <w:rPr>
          <w:i/>
          <w:iCs/>
          <w:sz w:val="22"/>
          <w:szCs w:val="22"/>
        </w:rPr>
        <w:t>post mortem</w:t>
      </w:r>
      <w:r>
        <w:rPr>
          <w:sz w:val="22"/>
          <w:szCs w:val="22"/>
        </w:rPr>
        <w:t>). A maioria das informações são respondidas com “X” em campo correspondente, necessitando que se escreva o mínimo necessário, para que haja correspondência entre diversos idiomas sem necessida</w:t>
      </w:r>
      <w:r>
        <w:rPr>
          <w:sz w:val="22"/>
          <w:szCs w:val="22"/>
        </w:rPr>
        <w:t>de de tradução.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 xml:space="preserve"> O Interpol DVI Guide em 2014, estabelece que por regra, o ideal é a presença de dois ou três profissionais odontolegistas durante o processo de identificação de vítimas na fase </w:t>
      </w:r>
      <w:r>
        <w:rPr>
          <w:i/>
          <w:iCs/>
          <w:sz w:val="22"/>
          <w:szCs w:val="22"/>
        </w:rPr>
        <w:t>post mortem</w:t>
      </w:r>
      <w:r>
        <w:rPr>
          <w:sz w:val="22"/>
          <w:szCs w:val="22"/>
        </w:rPr>
        <w:t>. Sendo estes: odontolegista examinador, odontolegi</w:t>
      </w:r>
      <w:r>
        <w:rPr>
          <w:sz w:val="22"/>
          <w:szCs w:val="22"/>
        </w:rPr>
        <w:t>sta para registro e/ou assistente de odontolegista para radiografias. Após primeira coleta de dados, a equipe alterna em função e repete exames para garantir dados precisos através de sistema de controle de qualidade de verificação dupla.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De acordo com DVI</w:t>
      </w:r>
      <w:r>
        <w:rPr>
          <w:sz w:val="22"/>
          <w:szCs w:val="22"/>
        </w:rPr>
        <w:t xml:space="preserve"> Guide: INTERPOL 2014, algumas radiografias básicas devem ser feitas: interproximal de molares de ambos os lados, periapical de molares, pré-molares e incisivos de ambos os lados, panorâmica, dentes com características especiais como tratamento endodôntico</w:t>
      </w:r>
      <w:r>
        <w:rPr>
          <w:sz w:val="22"/>
          <w:szCs w:val="22"/>
        </w:rPr>
        <w:t>, próteses e restaurações. Outras radiografias podem ser requeridas se necessário.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A qualidade de todas as radiografias é avaliada, e então estudadas pelo odontolegista responsável pelo registro, e serão anexadas nas páginas PM do formulário. O odontolegi</w:t>
      </w:r>
      <w:r>
        <w:rPr>
          <w:sz w:val="22"/>
          <w:szCs w:val="22"/>
        </w:rPr>
        <w:t>sta responsável pelo registro tembém é responsável por auxiliar o odontolegista examinador durante análise e registro de estado dental da vítima, prepara e completa os formulários PM relevantes e registra dados dentários conforme ditado por odontolegista e</w:t>
      </w:r>
      <w:r>
        <w:rPr>
          <w:sz w:val="22"/>
          <w:szCs w:val="22"/>
        </w:rPr>
        <w:t>xaminador( DVI Guide: INTERPOL 2014 )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A nomenclatura FDI deve ser utilizada em todos os casos. A padronização internacional deve prevalecer durante o preenchimento do formulário Interpol DVI PM em termos, códigos, abreviaturas e nomenclaturas tanto em oper</w:t>
      </w:r>
      <w:r>
        <w:rPr>
          <w:sz w:val="22"/>
          <w:szCs w:val="22"/>
        </w:rPr>
        <w:t>ações nacionais quanto internacionais. Todos os objetos, imagens, restos humanos devem acompanhar números de identificação PM.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O Guia DVI Interpol indica que somente em casos muito excepcionais os maxilares da vítima podem ser removidos de posição, e ante</w:t>
      </w:r>
      <w:r>
        <w:rPr>
          <w:sz w:val="22"/>
          <w:szCs w:val="22"/>
        </w:rPr>
        <w:t>s é preciso que o odontolegista examinador apresente justificativa ao supervisor e comandante DVI e aguarde resposta antes do procedimento. Qualquer procedimento mutilador é evitado em respeito aos familiares da vítima, que possuem direito à visualização d</w:t>
      </w:r>
      <w:r>
        <w:rPr>
          <w:sz w:val="22"/>
          <w:szCs w:val="22"/>
        </w:rPr>
        <w:t>o cadáver ainda que em estado avançado de decomposição. E quando autorizado, é importante que após exames e registros, os maxilares retornem em posição anatômica.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Existe uma equipe AM(</w:t>
      </w:r>
      <w:r>
        <w:rPr>
          <w:i/>
          <w:iCs/>
          <w:sz w:val="22"/>
          <w:szCs w:val="22"/>
        </w:rPr>
        <w:t>ante mortem</w:t>
      </w:r>
      <w:r>
        <w:rPr>
          <w:sz w:val="22"/>
          <w:szCs w:val="22"/>
        </w:rPr>
        <w:t>) integrada dentro da cadeia de comando DVI que fica encarreg</w:t>
      </w:r>
      <w:r>
        <w:rPr>
          <w:sz w:val="22"/>
          <w:szCs w:val="22"/>
        </w:rPr>
        <w:t>ada de coletar e registrar informações correspondentes a indivíduos que são prováveis vítimas do desastre. É importante que cada dado AM seja adquirido pelo respectivo especialista com o objetivo de que o dado e material recebido seja de qualidade.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</w:pPr>
      <w:r>
        <w:rPr>
          <w:sz w:val="22"/>
          <w:szCs w:val="22"/>
        </w:rPr>
        <w:t>A equip</w:t>
      </w:r>
      <w:r>
        <w:rPr>
          <w:sz w:val="22"/>
          <w:szCs w:val="22"/>
        </w:rPr>
        <w:t xml:space="preserve">e AM responsável pela coleta de dados, deverá buscar com parentes e amigos próximos das vítimas o nome e endereço de dentistas consultados pela pessoa desaparecida, fotos de rosto cheio e sorriso </w:t>
      </w:r>
      <w:r>
        <w:rPr>
          <w:sz w:val="22"/>
          <w:szCs w:val="22"/>
        </w:rPr>
        <w:lastRenderedPageBreak/>
        <w:t xml:space="preserve">mostrando dentes, registro de tratamento dentário original, </w:t>
      </w:r>
      <w:r>
        <w:rPr>
          <w:sz w:val="22"/>
          <w:szCs w:val="22"/>
        </w:rPr>
        <w:t>radiografias e o que mais for considerado útil para identificação.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Um representante da equipe DVI AM entrará em contato com dentistas que tenham tratado a vítima, e é muito importante que estes profissionais mantenham um bom registro do </w:t>
      </w:r>
      <w:r>
        <w:rPr>
          <w:sz w:val="22"/>
          <w:szCs w:val="22"/>
        </w:rPr>
        <w:t>paciente e dos tratamentos realizados. Caso o dentista não queira disponibilizar seu material, é ideal que a equipe sugira a duplicação deste material e que os originais sejam encaminhados para comparação.</w:t>
      </w:r>
    </w:p>
    <w:p w:rsidR="00F96FA6" w:rsidRDefault="00DA32FB">
      <w:pPr>
        <w:pStyle w:val="Standard"/>
        <w:tabs>
          <w:tab w:val="left" w:pos="1245"/>
        </w:tabs>
        <w:spacing w:line="240" w:lineRule="auto"/>
      </w:pPr>
      <w:r>
        <w:rPr>
          <w:sz w:val="22"/>
          <w:szCs w:val="22"/>
        </w:rPr>
        <w:t xml:space="preserve">          São considerados registros importantes:</w:t>
      </w:r>
      <w:r>
        <w:rPr>
          <w:sz w:val="22"/>
          <w:szCs w:val="22"/>
        </w:rPr>
        <w:t xml:space="preserve"> Radiografias, moldes ou modelos dentários, próteses dentárias e todos os registros que estejam em arquivo no consultório. Todos os registros devem ser rotulados com o nome, data de nascimento e data do tratamento do desaparecido além das informações de co</w:t>
      </w:r>
      <w:r>
        <w:rPr>
          <w:sz w:val="22"/>
          <w:szCs w:val="22"/>
        </w:rPr>
        <w:t>ntato do dentista responsável pelo tratamento.</w:t>
      </w:r>
    </w:p>
    <w:p w:rsidR="00F96FA6" w:rsidRDefault="00DA32FB">
      <w:pPr>
        <w:pStyle w:val="Standard"/>
        <w:tabs>
          <w:tab w:val="left" w:pos="1245"/>
        </w:tabs>
        <w:spacing w:line="240" w:lineRule="auto"/>
      </w:pPr>
      <w:r>
        <w:rPr>
          <w:sz w:val="22"/>
          <w:szCs w:val="22"/>
        </w:rPr>
        <w:t xml:space="preserve">              Uma equipe de reconciliação é responsável pela comparação de dados AM e PM apresentados pelas respectivas equipes. Segundo o  Guia DVI Interpol, o odontolegista reconciliador é responsável por  g</w:t>
      </w:r>
      <w:r>
        <w:rPr>
          <w:sz w:val="22"/>
          <w:szCs w:val="22"/>
        </w:rPr>
        <w:t>arantir a qualidade de dados AM e PM, comparação física e através de software adequado de dados AM e PM, emitir parecer especializado para apresentação ao Conselho de identificação.</w:t>
      </w:r>
    </w:p>
    <w:p w:rsidR="00F96FA6" w:rsidRDefault="00DA32FB">
      <w:pPr>
        <w:pStyle w:val="Standard"/>
        <w:tabs>
          <w:tab w:val="left" w:pos="1245"/>
        </w:tabs>
        <w:spacing w:line="240" w:lineRule="auto"/>
      </w:pPr>
      <w:r>
        <w:rPr>
          <w:sz w:val="22"/>
          <w:szCs w:val="22"/>
        </w:rPr>
        <w:t xml:space="preserve">           A identificação final é realizada pelo Conselho de Identificaçã</w:t>
      </w:r>
      <w:r>
        <w:rPr>
          <w:sz w:val="22"/>
          <w:szCs w:val="22"/>
        </w:rPr>
        <w:t>o, que é constituído pelos membros mais experientes ou chefes de cada equipe de especialistas, o que inclui um odontolegista, além do diretor, comandante ou delegado da equipe DVI. Concluído todo o procedimento e após autorização para liberação do corpo, s</w:t>
      </w:r>
      <w:r>
        <w:rPr>
          <w:sz w:val="22"/>
          <w:szCs w:val="22"/>
        </w:rPr>
        <w:t>ão tomadas as medidas para repatriação de cadáver que será entregue à sua família.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F96FA6" w:rsidRDefault="00DA32FB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-131400</wp:posOffset>
            </wp:positionH>
            <wp:positionV relativeFrom="paragraph">
              <wp:posOffset>85680</wp:posOffset>
            </wp:positionV>
            <wp:extent cx="4735080" cy="3389760"/>
            <wp:effectExtent l="0" t="0" r="8370" b="1140"/>
            <wp:wrapSquare wrapText="bothSides"/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080" cy="33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FA6" w:rsidRDefault="00F96FA6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b/>
          <w:bCs/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</w:pPr>
      <w:r>
        <w:rPr>
          <w:b/>
          <w:bCs/>
          <w:sz w:val="22"/>
          <w:szCs w:val="22"/>
        </w:rPr>
        <w:t>Figura 1</w:t>
      </w:r>
      <w:r>
        <w:rPr>
          <w:sz w:val="22"/>
          <w:szCs w:val="22"/>
        </w:rPr>
        <w:t>: Interpol DVI Form. PM. Páginas destinadas ao</w:t>
      </w:r>
      <w:r>
        <w:rPr>
          <w:sz w:val="22"/>
          <w:szCs w:val="22"/>
        </w:rPr>
        <w:t xml:space="preserve"> preenchimento do odontolegista. Formulário disponível para download em </w:t>
      </w:r>
      <w:hyperlink r:id="rId9" w:history="1">
        <w:r>
          <w:rPr>
            <w:sz w:val="22"/>
            <w:szCs w:val="22"/>
          </w:rPr>
          <w:t>https://www.interpol.int/INTERPOL-expertise/Forensics/DVI-Pages/Forms</w:t>
        </w:r>
      </w:hyperlink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431640</wp:posOffset>
            </wp:positionH>
            <wp:positionV relativeFrom="paragraph">
              <wp:posOffset>104760</wp:posOffset>
            </wp:positionV>
            <wp:extent cx="4533840" cy="3153959"/>
            <wp:effectExtent l="0" t="0" r="60" b="8341"/>
            <wp:wrapSquare wrapText="bothSides"/>
            <wp:docPr id="2" name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840" cy="315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FA6" w:rsidRDefault="00F96FA6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color w:val="FF0000"/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color w:val="FF0000"/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</w:pPr>
      <w:r>
        <w:rPr>
          <w:b/>
          <w:bCs/>
          <w:sz w:val="22"/>
          <w:szCs w:val="22"/>
        </w:rPr>
        <w:t>Fi</w:t>
      </w:r>
      <w:r>
        <w:rPr>
          <w:b/>
          <w:bCs/>
          <w:sz w:val="22"/>
          <w:szCs w:val="22"/>
        </w:rPr>
        <w:t>gura 2</w:t>
      </w:r>
      <w:r>
        <w:rPr>
          <w:sz w:val="22"/>
          <w:szCs w:val="22"/>
        </w:rPr>
        <w:t xml:space="preserve">: Interpol DVI Form. AM. Páginas destinadas ao preenchimento do odontolegista. Formulário disponível para download em </w:t>
      </w:r>
      <w:hyperlink r:id="rId11" w:history="1">
        <w:r>
          <w:rPr>
            <w:sz w:val="22"/>
            <w:szCs w:val="22"/>
          </w:rPr>
          <w:t>https://www.interpol.int/INTERPOL-expertise/F</w:t>
        </w:r>
        <w:r>
          <w:rPr>
            <w:sz w:val="22"/>
            <w:szCs w:val="22"/>
          </w:rPr>
          <w:t>orensics/DVI-Pages/Forms</w:t>
        </w:r>
      </w:hyperlink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F96FA6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</w:p>
    <w:p w:rsidR="00F96FA6" w:rsidRDefault="00DA32FB">
      <w:pPr>
        <w:pStyle w:val="Standard"/>
        <w:tabs>
          <w:tab w:val="left" w:pos="1245"/>
        </w:tabs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491400</wp:posOffset>
            </wp:positionH>
            <wp:positionV relativeFrom="paragraph">
              <wp:posOffset>53280</wp:posOffset>
            </wp:positionV>
            <wp:extent cx="2642400" cy="3735720"/>
            <wp:effectExtent l="0" t="0" r="5550" b="0"/>
            <wp:wrapSquare wrapText="bothSides"/>
            <wp:docPr id="3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373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F96FA6">
      <w:pPr>
        <w:pStyle w:val="Standard"/>
        <w:spacing w:line="240" w:lineRule="auto"/>
        <w:rPr>
          <w:b/>
          <w:bCs/>
          <w:sz w:val="22"/>
          <w:szCs w:val="22"/>
        </w:rPr>
      </w:pPr>
    </w:p>
    <w:p w:rsidR="00F96FA6" w:rsidRDefault="00DA32FB">
      <w:pPr>
        <w:pStyle w:val="Standard"/>
        <w:spacing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Figura 3</w:t>
      </w:r>
      <w:r>
        <w:rPr>
          <w:sz w:val="22"/>
          <w:szCs w:val="22"/>
        </w:rPr>
        <w:t xml:space="preserve">: Folha de rosto de formulário de identificação. Formulário disponível para download em </w:t>
      </w:r>
      <w:hyperlink r:id="rId13" w:history="1">
        <w:r>
          <w:rPr>
            <w:sz w:val="22"/>
            <w:szCs w:val="22"/>
          </w:rPr>
          <w:t>https://www.interpol.int/INTERPOL-expertise/Forensics/DVI-Pages/Forms</w:t>
        </w:r>
      </w:hyperlink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F96FA6">
      <w:pPr>
        <w:pStyle w:val="Standard"/>
        <w:spacing w:line="240" w:lineRule="auto"/>
        <w:ind w:firstLine="851"/>
        <w:rPr>
          <w:sz w:val="22"/>
          <w:szCs w:val="22"/>
        </w:rPr>
      </w:pPr>
    </w:p>
    <w:p w:rsidR="00F96FA6" w:rsidRDefault="00DA32FB">
      <w:pPr>
        <w:pStyle w:val="Nivel1"/>
        <w:spacing w:line="240" w:lineRule="auto"/>
        <w:outlineLvl w:val="9"/>
        <w:rPr>
          <w:sz w:val="20"/>
          <w:szCs w:val="22"/>
        </w:rPr>
      </w:pPr>
      <w:bookmarkStart w:id="1" w:name="_Toc311228598"/>
      <w:r>
        <w:rPr>
          <w:sz w:val="20"/>
          <w:szCs w:val="22"/>
        </w:rPr>
        <w:t>REFERÊNCIAS BIBLIOGRÁFICAS</w:t>
      </w:r>
      <w:bookmarkEnd w:id="1"/>
    </w:p>
    <w:p w:rsidR="00F96FA6" w:rsidRDefault="00DA32FB">
      <w:pPr>
        <w:pStyle w:val="Standard"/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1. GUIDANCE ON DEALING WITH FATALITIES IN EMERGENCIES – Disponível em: &lt;</w:t>
      </w:r>
      <w:r>
        <w:rPr>
          <w:sz w:val="20"/>
          <w:szCs w:val="22"/>
        </w:rPr>
        <w:t>https://www.gov.uk/government/uploads/system/uploads/attachment_data/file/61191/fatalities.pdf&gt; Acesso em: 05/2017</w:t>
      </w:r>
    </w:p>
    <w:p w:rsidR="00F96FA6" w:rsidRDefault="00DA32FB">
      <w:pPr>
        <w:pStyle w:val="Standard"/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2. INTERPOL DISASTER VICTIM INDENTIFICATION - DVI Forms. Disponível em: &lt;https://www.interpol.int/INTERPOL-expertise/Forensics/DVI-Pages/Form</w:t>
      </w:r>
      <w:r>
        <w:rPr>
          <w:sz w:val="20"/>
          <w:szCs w:val="22"/>
        </w:rPr>
        <w:t>s&gt; Acesso em: 10/2016</w:t>
      </w:r>
    </w:p>
    <w:p w:rsidR="00F96FA6" w:rsidRDefault="00DA32FB">
      <w:pPr>
        <w:pStyle w:val="Standard"/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3. INTERPOL DISASTER VICTIM INDENTIFICATION - DVI Guide. Disponível em: &lt;https://www.interpol.int/INTERPOL-expertise/Forensics/DVI-Pages/DVI-guide&gt; Acesso em: 10/2016.</w:t>
      </w:r>
    </w:p>
    <w:p w:rsidR="00F96FA6" w:rsidRDefault="00DA32FB">
      <w:pPr>
        <w:pStyle w:val="Standard"/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4. M. LEITE, Murillo; C. O. AMORIM, Ana; D. GOMES, Tiago; M. PRADO</w:t>
      </w:r>
      <w:r>
        <w:rPr>
          <w:sz w:val="20"/>
          <w:szCs w:val="22"/>
        </w:rPr>
        <w:t>, Mauro; F. SILVA, Rhonan. The Importance of the Dental Expert´s Role in Human Identification Process of Air Disaster Victms. Rev Odontol Bras Central 2011;20(52)</w:t>
      </w:r>
    </w:p>
    <w:sectPr w:rsidR="00F96FA6">
      <w:headerReference w:type="default" r:id="rId14"/>
      <w:footerReference w:type="default" r:id="rId15"/>
      <w:pgSz w:w="11906" w:h="16838"/>
      <w:pgMar w:top="1134" w:right="1134" w:bottom="1134" w:left="1134" w:header="426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A32FB">
      <w:r>
        <w:separator/>
      </w:r>
    </w:p>
  </w:endnote>
  <w:endnote w:type="continuationSeparator" w:id="0">
    <w:p w:rsidR="00000000" w:rsidRDefault="00DA3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777" w:rsidRDefault="00DA32FB">
    <w:pPr>
      <w:pStyle w:val="Rodap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  <w:p w:rsidR="00152777" w:rsidRDefault="00DA32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A32FB">
      <w:r>
        <w:rPr>
          <w:color w:val="000000"/>
        </w:rPr>
        <w:separator/>
      </w:r>
    </w:p>
  </w:footnote>
  <w:footnote w:type="continuationSeparator" w:id="0">
    <w:p w:rsidR="00000000" w:rsidRDefault="00DA32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777" w:rsidRDefault="00DA32FB">
    <w:pPr>
      <w:pStyle w:val="Cabealho"/>
      <w:jc w:val="center"/>
      <w:rPr>
        <w:bCs/>
        <w:sz w:val="22"/>
        <w:szCs w:val="22"/>
      </w:rPr>
    </w:pPr>
    <w:r>
      <w:rPr>
        <w:bCs/>
        <w:sz w:val="22"/>
        <w:szCs w:val="22"/>
      </w:rPr>
      <w:t>XXIV Congresso Nacional de Criminalística, VII Congresso Internacional de Perícia Criminal e</w:t>
    </w:r>
  </w:p>
  <w:p w:rsidR="00152777" w:rsidRDefault="00DA32FB">
    <w:pPr>
      <w:pStyle w:val="Cabealho"/>
      <w:jc w:val="center"/>
      <w:rPr>
        <w:bCs/>
        <w:sz w:val="22"/>
        <w:szCs w:val="22"/>
      </w:rPr>
    </w:pPr>
    <w:r>
      <w:rPr>
        <w:bCs/>
        <w:sz w:val="22"/>
        <w:szCs w:val="22"/>
      </w:rPr>
      <w:t>XXIV Exposição de Tecnologias Aplicadas à Criminalística</w:t>
    </w:r>
  </w:p>
  <w:p w:rsidR="00152777" w:rsidRDefault="00DA32FB">
    <w:pPr>
      <w:pStyle w:val="Cabealho"/>
      <w:jc w:val="center"/>
      <w:rPr>
        <w:bCs/>
        <w:i/>
        <w:sz w:val="20"/>
        <w:szCs w:val="20"/>
      </w:rPr>
    </w:pPr>
    <w:r>
      <w:rPr>
        <w:bCs/>
        <w:i/>
        <w:sz w:val="20"/>
        <w:szCs w:val="20"/>
      </w:rPr>
      <w:t>Florianópolis-SC, 02 a 06 de outubro de 2017.</w:t>
    </w:r>
  </w:p>
  <w:p w:rsidR="00152777" w:rsidRDefault="00DA32FB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713E7"/>
    <w:multiLevelType w:val="multilevel"/>
    <w:tmpl w:val="5F2CB29E"/>
    <w:styleLink w:val="WWNum2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>
    <w:nsid w:val="48FA5B95"/>
    <w:multiLevelType w:val="multilevel"/>
    <w:tmpl w:val="378A3AAC"/>
    <w:styleLink w:val="WWNum1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">
    <w:nsid w:val="77402ADF"/>
    <w:multiLevelType w:val="multilevel"/>
    <w:tmpl w:val="DD9891AC"/>
    <w:styleLink w:val="WWNum3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">
    <w:nsid w:val="7ADB76F7"/>
    <w:multiLevelType w:val="multilevel"/>
    <w:tmpl w:val="8756703E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86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6FA6"/>
    <w:rsid w:val="00727B9E"/>
    <w:rsid w:val="00C54B79"/>
    <w:rsid w:val="00DA32FB"/>
    <w:rsid w:val="00E26110"/>
    <w:rsid w:val="00F9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</w:style>
  <w:style w:type="paragraph" w:styleId="PargrafodaLista">
    <w:name w:val="List Paragraph"/>
    <w:basedOn w:val="Standard"/>
    <w:pPr>
      <w:ind w:left="720"/>
    </w:pPr>
  </w:style>
  <w:style w:type="paragraph" w:customStyle="1" w:styleId="Nivel1">
    <w:name w:val="Nivel1"/>
    <w:basedOn w:val="Ttulo1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paragraph" w:customStyle="1" w:styleId="referenciabibliografica">
    <w:name w:val="referencia bibliografica"/>
    <w:basedOn w:val="Standard"/>
    <w:pPr>
      <w:widowControl w:val="0"/>
      <w:spacing w:line="100" w:lineRule="atLeast"/>
      <w:ind w:left="567" w:hanging="567"/>
    </w:pPr>
    <w:rPr>
      <w:sz w:val="20"/>
      <w:szCs w:val="20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line="240" w:lineRule="auto"/>
    </w:pPr>
  </w:style>
  <w:style w:type="character" w:customStyle="1" w:styleId="Ttulo1Char">
    <w:name w:val="Título 1 Char"/>
    <w:basedOn w:val="Fontepargpadro"/>
    <w:rPr>
      <w:rFonts w:ascii="Arial" w:eastAsia="Times New Roman" w:hAnsi="Arial" w:cs="Arial"/>
      <w:b/>
      <w:bCs/>
      <w:kern w:val="3"/>
      <w:sz w:val="32"/>
      <w:szCs w:val="32"/>
      <w:lang w:eastAsia="pt-BR"/>
    </w:rPr>
  </w:style>
  <w:style w:type="character" w:customStyle="1" w:styleId="hps">
    <w:name w:val="hps"/>
    <w:basedOn w:val="Fontepargpadro"/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st">
    <w:name w:val="st"/>
    <w:basedOn w:val="Fontepargpadro"/>
  </w:style>
  <w:style w:type="character" w:customStyle="1" w:styleId="Nivel1Char">
    <w:name w:val="Nivel1 Char"/>
    <w:basedOn w:val="Ttulo1Char"/>
    <w:rPr>
      <w:rFonts w:ascii="Times New Roman" w:eastAsia="Times New Roman" w:hAnsi="Times New Roman" w:cs="Times New Roman"/>
      <w:b/>
      <w:bCs/>
      <w:kern w:val="3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NoList">
    <w:name w:val="No List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numbering" w:customStyle="1" w:styleId="WWNum2">
    <w:name w:val="WWNum2"/>
    <w:basedOn w:val="Semlista"/>
    <w:pPr>
      <w:numPr>
        <w:numId w:val="3"/>
      </w:numPr>
    </w:pPr>
  </w:style>
  <w:style w:type="numbering" w:customStyle="1" w:styleId="WWNum3">
    <w:name w:val="WWNum3"/>
    <w:basedOn w:val="Semlista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</w:style>
  <w:style w:type="paragraph" w:styleId="PargrafodaLista">
    <w:name w:val="List Paragraph"/>
    <w:basedOn w:val="Standard"/>
    <w:pPr>
      <w:ind w:left="720"/>
    </w:pPr>
  </w:style>
  <w:style w:type="paragraph" w:customStyle="1" w:styleId="Nivel1">
    <w:name w:val="Nivel1"/>
    <w:basedOn w:val="Ttulo1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paragraph" w:customStyle="1" w:styleId="referenciabibliografica">
    <w:name w:val="referencia bibliografica"/>
    <w:basedOn w:val="Standard"/>
    <w:pPr>
      <w:widowControl w:val="0"/>
      <w:spacing w:line="100" w:lineRule="atLeast"/>
      <w:ind w:left="567" w:hanging="567"/>
    </w:pPr>
    <w:rPr>
      <w:sz w:val="20"/>
      <w:szCs w:val="20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line="240" w:lineRule="auto"/>
    </w:pPr>
  </w:style>
  <w:style w:type="character" w:customStyle="1" w:styleId="Ttulo1Char">
    <w:name w:val="Título 1 Char"/>
    <w:basedOn w:val="Fontepargpadro"/>
    <w:rPr>
      <w:rFonts w:ascii="Arial" w:eastAsia="Times New Roman" w:hAnsi="Arial" w:cs="Arial"/>
      <w:b/>
      <w:bCs/>
      <w:kern w:val="3"/>
      <w:sz w:val="32"/>
      <w:szCs w:val="32"/>
      <w:lang w:eastAsia="pt-BR"/>
    </w:rPr>
  </w:style>
  <w:style w:type="character" w:customStyle="1" w:styleId="hps">
    <w:name w:val="hps"/>
    <w:basedOn w:val="Fontepargpadro"/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st">
    <w:name w:val="st"/>
    <w:basedOn w:val="Fontepargpadro"/>
  </w:style>
  <w:style w:type="character" w:customStyle="1" w:styleId="Nivel1Char">
    <w:name w:val="Nivel1 Char"/>
    <w:basedOn w:val="Ttulo1Char"/>
    <w:rPr>
      <w:rFonts w:ascii="Times New Roman" w:eastAsia="Times New Roman" w:hAnsi="Times New Roman" w:cs="Times New Roman"/>
      <w:b/>
      <w:bCs/>
      <w:kern w:val="3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NoList">
    <w:name w:val="No List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numbering" w:customStyle="1" w:styleId="WWNum2">
    <w:name w:val="WWNum2"/>
    <w:basedOn w:val="Semlista"/>
    <w:pPr>
      <w:numPr>
        <w:numId w:val="3"/>
      </w:numPr>
    </w:pPr>
  </w:style>
  <w:style w:type="numbering" w:customStyle="1" w:styleId="WWNum3">
    <w:name w:val="WWNum3"/>
    <w:basedOn w:val="Semlist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interpol.int/INTERPOL-expertise/Forensics/DVI-Pages/Form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terpol.int/INTERPOL-expertise/Forensics/DVI-Pages/Form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interpol.int/INTERPOL-expertise/Forensics/DVI-Pages/Form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1283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2017-07-19T20:51:00Z</dcterms:created>
  <dcterms:modified xsi:type="dcterms:W3CDTF">2017-07-19T20:51:00Z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