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C140FE" w:rsidP="00824730">
      <w:pPr>
        <w:spacing w:line="240" w:lineRule="auto"/>
        <w:jc w:val="center"/>
        <w:rPr>
          <w:b/>
        </w:rPr>
      </w:pPr>
      <w:r>
        <w:rPr>
          <w:b/>
        </w:rPr>
        <w:t>Implantação do Banco Forense de Perfis Genéticos no Estado do Amapá</w:t>
      </w:r>
      <w:r w:rsidR="003F6A7C" w:rsidRPr="003F6A7C">
        <w:rPr>
          <w:b/>
        </w:rPr>
        <w:t xml:space="preserve"> </w:t>
      </w:r>
    </w:p>
    <w:p w:rsidR="006B0CC4" w:rsidRDefault="006B0CC4" w:rsidP="00A25A1F">
      <w:pPr>
        <w:spacing w:line="240" w:lineRule="auto"/>
        <w:jc w:val="center"/>
      </w:pPr>
      <w:bookmarkStart w:id="0" w:name="_GoBack"/>
      <w:bookmarkEnd w:id="0"/>
    </w:p>
    <w:p w:rsidR="00D77709" w:rsidRDefault="00D2110B" w:rsidP="00A25A1F">
      <w:pPr>
        <w:spacing w:line="240" w:lineRule="auto"/>
      </w:pPr>
      <w:r w:rsidRPr="00D2110B">
        <w:tab/>
      </w:r>
      <w:r w:rsidR="00D77709" w:rsidRPr="003874AE">
        <w:t>Uma característica importan</w:t>
      </w:r>
      <w:r w:rsidR="00482E7E">
        <w:t>te do genoma humano</w:t>
      </w:r>
      <w:r w:rsidR="00D77709" w:rsidRPr="003874AE">
        <w:t xml:space="preserve"> é que ele é variável: não existem duas pessoas com genomas idênticos (exceto os gêmeos monozigóticos)</w:t>
      </w:r>
      <w:r w:rsidR="00482E7E" w:rsidRPr="003874AE">
        <w:t>.</w:t>
      </w:r>
      <w:r w:rsidR="00482E7E">
        <w:t xml:space="preserve"> </w:t>
      </w:r>
      <w:r w:rsidR="00195B9B">
        <w:t>Essas</w:t>
      </w:r>
      <w:r w:rsidR="00482E7E" w:rsidRPr="00482E7E">
        <w:t xml:space="preserve"> variações genéticas</w:t>
      </w:r>
      <w:r w:rsidR="00195B9B">
        <w:t xml:space="preserve">, também chamadas de polimorfismos, </w:t>
      </w:r>
      <w:r w:rsidR="00482E7E" w:rsidRPr="00482E7E">
        <w:t xml:space="preserve">são </w:t>
      </w:r>
      <w:r w:rsidR="00195B9B">
        <w:t xml:space="preserve">as </w:t>
      </w:r>
      <w:r w:rsidR="00482E7E" w:rsidRPr="00482E7E">
        <w:t>responsáveis pela individualidade humana, e é o que possibilita a identificação através do DNA</w:t>
      </w:r>
      <w:r w:rsidR="00482E7E">
        <w:t xml:space="preserve">. </w:t>
      </w:r>
      <w:r w:rsidR="00D77709" w:rsidRPr="003874AE">
        <w:rPr>
          <w:rFonts w:eastAsia="Candida-Roman"/>
        </w:rPr>
        <w:t>Nos testes de determinação de identida</w:t>
      </w:r>
      <w:r w:rsidR="00C764DF">
        <w:rPr>
          <w:rFonts w:eastAsia="Candida-Roman"/>
        </w:rPr>
        <w:t xml:space="preserve">de genética são analisadas </w:t>
      </w:r>
      <w:r w:rsidR="00D77709" w:rsidRPr="003874AE">
        <w:rPr>
          <w:rFonts w:eastAsia="Candida-Roman"/>
        </w:rPr>
        <w:t xml:space="preserve">regiões genômicas onde há </w:t>
      </w:r>
      <w:r w:rsidR="00195B9B">
        <w:rPr>
          <w:rFonts w:eastAsia="Candida-Roman"/>
        </w:rPr>
        <w:t xml:space="preserve">maior </w:t>
      </w:r>
      <w:r w:rsidR="00D77709" w:rsidRPr="003874AE">
        <w:t xml:space="preserve">variação individual e facilidade de estudo, sendo </w:t>
      </w:r>
      <w:proofErr w:type="gramStart"/>
      <w:r w:rsidR="00D77709" w:rsidRPr="003874AE">
        <w:t>denominadas marc</w:t>
      </w:r>
      <w:r w:rsidR="00A31500">
        <w:t>adores genéticos ou moleculares</w:t>
      </w:r>
      <w:proofErr w:type="gramEnd"/>
      <w:r w:rsidR="00A31500">
        <w:t xml:space="preserve">. </w:t>
      </w:r>
      <w:r w:rsidR="00195B9B">
        <w:rPr>
          <w:rFonts w:eastAsia="Candida-Roman"/>
        </w:rPr>
        <w:t>A</w:t>
      </w:r>
      <w:r w:rsidR="00D77709" w:rsidRPr="003874AE">
        <w:t xml:space="preserve">tualmente a grande maioria das identificações humanas </w:t>
      </w:r>
      <w:proofErr w:type="gramStart"/>
      <w:r w:rsidR="00D77709" w:rsidRPr="003874AE">
        <w:t>são realizada</w:t>
      </w:r>
      <w:r w:rsidR="007A5274">
        <w:t>s</w:t>
      </w:r>
      <w:proofErr w:type="gramEnd"/>
      <w:r w:rsidR="00D77709" w:rsidRPr="003874AE">
        <w:t xml:space="preserve"> através de marcadores chamados de microssatélites ou </w:t>
      </w:r>
      <w:proofErr w:type="spellStart"/>
      <w:r w:rsidR="00D77709" w:rsidRPr="003874AE">
        <w:t>STRs</w:t>
      </w:r>
      <w:proofErr w:type="spellEnd"/>
      <w:r w:rsidR="00D77709" w:rsidRPr="003874AE">
        <w:t xml:space="preserve"> (Short </w:t>
      </w:r>
      <w:r w:rsidR="00D77709" w:rsidRPr="003874AE">
        <w:rPr>
          <w:iCs/>
        </w:rPr>
        <w:t xml:space="preserve">Tandem </w:t>
      </w:r>
      <w:proofErr w:type="spellStart"/>
      <w:r w:rsidR="00D77709" w:rsidRPr="003874AE">
        <w:rPr>
          <w:iCs/>
        </w:rPr>
        <w:t>Rep</w:t>
      </w:r>
      <w:r w:rsidR="00D77709">
        <w:rPr>
          <w:iCs/>
        </w:rPr>
        <w:t>eat</w:t>
      </w:r>
      <w:proofErr w:type="spellEnd"/>
      <w:r w:rsidR="00D77709">
        <w:rPr>
          <w:iCs/>
        </w:rPr>
        <w:t xml:space="preserve"> – Repetição curtas Consecutivas</w:t>
      </w:r>
      <w:r w:rsidR="00D77709" w:rsidRPr="003874AE">
        <w:rPr>
          <w:iCs/>
        </w:rPr>
        <w:t>)</w:t>
      </w:r>
      <w:r w:rsidR="00D77709" w:rsidRPr="003874AE">
        <w:t>, que possuem tamanho de 2 à 9 pares de bases, com sequências curtas, é o mai</w:t>
      </w:r>
      <w:r w:rsidR="00A31500">
        <w:t xml:space="preserve">s utilizado na genética forense. </w:t>
      </w:r>
    </w:p>
    <w:p w:rsidR="00791A40" w:rsidRPr="00493ACF" w:rsidRDefault="009C1F8E" w:rsidP="00A25A1F">
      <w:pPr>
        <w:autoSpaceDE w:val="0"/>
        <w:autoSpaceDN w:val="0"/>
        <w:adjustRightInd w:val="0"/>
        <w:spacing w:line="240" w:lineRule="auto"/>
        <w:rPr>
          <w:iCs/>
          <w:color w:val="000000" w:themeColor="text1"/>
        </w:rPr>
      </w:pPr>
      <w:r>
        <w:tab/>
      </w:r>
      <w:r w:rsidRPr="003874AE">
        <w:t>Um dos pontos mais significantes a cerca</w:t>
      </w:r>
      <w:r w:rsidR="00493ACF">
        <w:t xml:space="preserve"> do uso de DNA como identidade foi </w:t>
      </w:r>
      <w:proofErr w:type="gramStart"/>
      <w:r w:rsidRPr="003874AE">
        <w:t>a</w:t>
      </w:r>
      <w:proofErr w:type="gramEnd"/>
      <w:r w:rsidRPr="003874AE">
        <w:t xml:space="preserve"> implantação dos Bancos de dados de perfis genéticos. </w:t>
      </w:r>
      <w:r w:rsidR="00195B9B">
        <w:t xml:space="preserve">O </w:t>
      </w:r>
      <w:r w:rsidR="00D77709" w:rsidRPr="003874AE">
        <w:rPr>
          <w:iCs/>
          <w:color w:val="000000" w:themeColor="text1"/>
        </w:rPr>
        <w:t>ban</w:t>
      </w:r>
      <w:r w:rsidR="00493ACF">
        <w:rPr>
          <w:iCs/>
          <w:color w:val="000000" w:themeColor="text1"/>
        </w:rPr>
        <w:t xml:space="preserve">co de perfis </w:t>
      </w:r>
      <w:r w:rsidR="00D77709" w:rsidRPr="003874AE">
        <w:rPr>
          <w:iCs/>
          <w:color w:val="000000" w:themeColor="text1"/>
        </w:rPr>
        <w:t>mais conhecido foi o criado nos Estados Unidos pelo FBI (</w:t>
      </w:r>
      <w:r w:rsidR="00D77709" w:rsidRPr="003874AE">
        <w:rPr>
          <w:rStyle w:val="nfase"/>
          <w:bCs/>
          <w:color w:val="000000" w:themeColor="text1"/>
          <w:shd w:val="clear" w:color="auto" w:fill="FFFFFF"/>
        </w:rPr>
        <w:t xml:space="preserve">Federal Bureau </w:t>
      </w:r>
      <w:proofErr w:type="spellStart"/>
      <w:r w:rsidR="00D77709" w:rsidRPr="003874AE">
        <w:rPr>
          <w:rStyle w:val="nfase"/>
          <w:bCs/>
          <w:color w:val="000000" w:themeColor="text1"/>
          <w:shd w:val="clear" w:color="auto" w:fill="FFFFFF"/>
        </w:rPr>
        <w:t>of</w:t>
      </w:r>
      <w:proofErr w:type="spellEnd"/>
      <w:r w:rsidR="00D77709" w:rsidRPr="003874AE">
        <w:rPr>
          <w:rStyle w:val="nfase"/>
          <w:bCs/>
          <w:color w:val="000000" w:themeColor="text1"/>
          <w:shd w:val="clear" w:color="auto" w:fill="FFFFFF"/>
        </w:rPr>
        <w:t xml:space="preserve"> </w:t>
      </w:r>
      <w:proofErr w:type="spellStart"/>
      <w:r w:rsidR="00D77709" w:rsidRPr="003874AE">
        <w:rPr>
          <w:rStyle w:val="nfase"/>
          <w:bCs/>
          <w:color w:val="000000" w:themeColor="text1"/>
          <w:shd w:val="clear" w:color="auto" w:fill="FFFFFF"/>
        </w:rPr>
        <w:t>Investigation</w:t>
      </w:r>
      <w:proofErr w:type="spellEnd"/>
      <w:r w:rsidR="00D77709" w:rsidRPr="003874AE">
        <w:rPr>
          <w:rStyle w:val="nfase"/>
          <w:b/>
          <w:bCs/>
          <w:color w:val="000000" w:themeColor="text1"/>
          <w:shd w:val="clear" w:color="auto" w:fill="FFFFFF"/>
        </w:rPr>
        <w:t xml:space="preserve"> - </w:t>
      </w:r>
      <w:r w:rsidR="00D77709" w:rsidRPr="003874AE">
        <w:rPr>
          <w:color w:val="000000" w:themeColor="text1"/>
          <w:shd w:val="clear" w:color="auto" w:fill="FFFFFF"/>
        </w:rPr>
        <w:t>Agência Federal de Investigação)</w:t>
      </w:r>
      <w:r w:rsidR="00C764DF">
        <w:rPr>
          <w:iCs/>
          <w:color w:val="000000" w:themeColor="text1"/>
        </w:rPr>
        <w:t xml:space="preserve">, </w:t>
      </w:r>
      <w:r w:rsidR="00493ACF">
        <w:rPr>
          <w:iCs/>
          <w:color w:val="000000" w:themeColor="text1"/>
        </w:rPr>
        <w:t>que</w:t>
      </w:r>
      <w:r w:rsidR="00D77709" w:rsidRPr="003874AE">
        <w:rPr>
          <w:iCs/>
          <w:color w:val="000000" w:themeColor="text1"/>
        </w:rPr>
        <w:t xml:space="preserve"> consiste em um </w:t>
      </w:r>
      <w:r w:rsidR="00D77709" w:rsidRPr="003874AE">
        <w:rPr>
          <w:color w:val="000000" w:themeColor="text1"/>
        </w:rPr>
        <w:t>software</w:t>
      </w:r>
      <w:r w:rsidR="00D77709" w:rsidRPr="003874AE">
        <w:rPr>
          <w:iCs/>
          <w:color w:val="000000" w:themeColor="text1"/>
        </w:rPr>
        <w:t xml:space="preserve"> chamado CODIS ou Sistema de Índice Combinado (</w:t>
      </w:r>
      <w:proofErr w:type="spellStart"/>
      <w:r w:rsidR="00D77709" w:rsidRPr="003874AE">
        <w:rPr>
          <w:iCs/>
          <w:color w:val="000000" w:themeColor="text1"/>
        </w:rPr>
        <w:t>Combined</w:t>
      </w:r>
      <w:proofErr w:type="spellEnd"/>
      <w:r w:rsidR="00D77709" w:rsidRPr="003874AE">
        <w:rPr>
          <w:iCs/>
          <w:color w:val="000000" w:themeColor="text1"/>
        </w:rPr>
        <w:t xml:space="preserve"> DNA Index System). O CODIS começou como um projeto piloto em 1990 e ganhou impulso com a DNA </w:t>
      </w:r>
      <w:proofErr w:type="spellStart"/>
      <w:r w:rsidR="00D77709" w:rsidRPr="003874AE">
        <w:rPr>
          <w:iCs/>
          <w:color w:val="000000" w:themeColor="text1"/>
        </w:rPr>
        <w:t>Identification</w:t>
      </w:r>
      <w:proofErr w:type="spellEnd"/>
      <w:r w:rsidR="00D77709" w:rsidRPr="003874AE">
        <w:rPr>
          <w:iCs/>
          <w:color w:val="000000" w:themeColor="text1"/>
        </w:rPr>
        <w:t xml:space="preserve"> </w:t>
      </w:r>
      <w:proofErr w:type="spellStart"/>
      <w:r w:rsidR="00D77709" w:rsidRPr="003874AE">
        <w:rPr>
          <w:iCs/>
          <w:color w:val="000000" w:themeColor="text1"/>
        </w:rPr>
        <w:t>Act</w:t>
      </w:r>
      <w:proofErr w:type="spellEnd"/>
      <w:r w:rsidR="00D77709" w:rsidRPr="003874AE">
        <w:rPr>
          <w:iCs/>
          <w:color w:val="000000" w:themeColor="text1"/>
        </w:rPr>
        <w:t xml:space="preserve"> (Lei de Identificação de DNA) de 1994, que deu ao FBI a autoridade de estabelecer um banco de dados em nível nacional para fin</w:t>
      </w:r>
      <w:r w:rsidR="00D77709">
        <w:rPr>
          <w:iCs/>
          <w:color w:val="000000" w:themeColor="text1"/>
        </w:rPr>
        <w:t>s de investigação</w:t>
      </w:r>
      <w:r w:rsidR="00D77709" w:rsidRPr="003874AE">
        <w:rPr>
          <w:iCs/>
          <w:color w:val="000000" w:themeColor="text1"/>
        </w:rPr>
        <w:t xml:space="preserve">. </w:t>
      </w:r>
      <w:r w:rsidR="00C764DF">
        <w:rPr>
          <w:iCs/>
          <w:color w:val="000000" w:themeColor="text1"/>
        </w:rPr>
        <w:t xml:space="preserve">O banco de perfis já havia sido implantado em outros países, quando em 2009 o Brasil assinou </w:t>
      </w:r>
      <w:r w:rsidR="00C764DF" w:rsidRPr="003874AE">
        <w:t>o Termo de Compromisso para utilização do software CODIS</w:t>
      </w:r>
      <w:r w:rsidR="00C764DF" w:rsidRPr="003874AE">
        <w:rPr>
          <w:iCs/>
        </w:rPr>
        <w:t xml:space="preserve"> </w:t>
      </w:r>
      <w:r w:rsidR="00C764DF" w:rsidRPr="003874AE">
        <w:rPr>
          <w:bCs/>
        </w:rPr>
        <w:t>com o FBI.</w:t>
      </w:r>
      <w:r w:rsidR="00C764DF">
        <w:rPr>
          <w:bCs/>
        </w:rPr>
        <w:t xml:space="preserve"> </w:t>
      </w:r>
      <w:r w:rsidR="00C764DF" w:rsidRPr="003874AE">
        <w:rPr>
          <w:shd w:val="clear" w:color="auto" w:fill="FFFFFF"/>
        </w:rPr>
        <w:t>E no dia 28 de maio de 2012 a presidente da República sancionou a Lei 12.654 que prevê a coleta de perfil genético como f</w:t>
      </w:r>
      <w:r w:rsidR="00C764DF">
        <w:rPr>
          <w:shd w:val="clear" w:color="auto" w:fill="FFFFFF"/>
        </w:rPr>
        <w:t>orma de identificação</w:t>
      </w:r>
      <w:r w:rsidR="00C764DF" w:rsidRPr="003874AE">
        <w:t>. Essa nova lei alterou dispositivos de duas outras leis, a de identificação criminal (12.037/09) e a lei de execução penal (7.210/84), passando a admitir ou mesmo obrigando a coleta e armazenamento de perfis genéticos em bancos de dados com</w:t>
      </w:r>
      <w:r w:rsidR="00A31500">
        <w:t xml:space="preserve"> fins de identificação criminal. </w:t>
      </w:r>
      <w:r w:rsidR="00791A40">
        <w:rPr>
          <w:shd w:val="clear" w:color="auto" w:fill="FFFFFF"/>
        </w:rPr>
        <w:t xml:space="preserve">Além da lei 12.654/12, o Decreto 7.950, publicado em </w:t>
      </w:r>
      <w:proofErr w:type="gramStart"/>
      <w:r w:rsidR="00791A40">
        <w:rPr>
          <w:shd w:val="clear" w:color="auto" w:fill="FFFFFF"/>
        </w:rPr>
        <w:t>12 M</w:t>
      </w:r>
      <w:r w:rsidR="00791A40" w:rsidRPr="0028453A">
        <w:rPr>
          <w:shd w:val="clear" w:color="auto" w:fill="FFFFFF"/>
        </w:rPr>
        <w:t>arço</w:t>
      </w:r>
      <w:proofErr w:type="gramEnd"/>
      <w:r w:rsidR="00791A40">
        <w:rPr>
          <w:shd w:val="clear" w:color="auto" w:fill="FFFFFF"/>
        </w:rPr>
        <w:t xml:space="preserve"> de 2013, passou a instituir o Banco Nacional de Perfis G</w:t>
      </w:r>
      <w:r w:rsidR="00791A40" w:rsidRPr="0028453A">
        <w:rPr>
          <w:shd w:val="clear" w:color="auto" w:fill="FFFFFF"/>
        </w:rPr>
        <w:t>enéticos</w:t>
      </w:r>
      <w:r w:rsidR="00791A40">
        <w:rPr>
          <w:shd w:val="clear" w:color="auto" w:fill="FFFFFF"/>
        </w:rPr>
        <w:t xml:space="preserve"> (BNPG) e a Rede Integrada de Bancos de Perfis G</w:t>
      </w:r>
      <w:r w:rsidR="00791A40" w:rsidRPr="0028453A">
        <w:rPr>
          <w:shd w:val="clear" w:color="auto" w:fill="FFFFFF"/>
        </w:rPr>
        <w:t>enéticos</w:t>
      </w:r>
      <w:r w:rsidR="00791A40">
        <w:rPr>
          <w:shd w:val="clear" w:color="auto" w:fill="FFFFFF"/>
        </w:rPr>
        <w:t xml:space="preserve"> (RIBPG)</w:t>
      </w:r>
      <w:r w:rsidR="00791A40" w:rsidRPr="0028453A">
        <w:rPr>
          <w:shd w:val="clear" w:color="auto" w:fill="FFFFFF"/>
        </w:rPr>
        <w:t>,</w:t>
      </w:r>
      <w:r w:rsidR="00791A40">
        <w:rPr>
          <w:shd w:val="clear" w:color="auto" w:fill="FFFFFF"/>
        </w:rPr>
        <w:t xml:space="preserve"> para que ocorra o intercambio de informações genéticas entre as diversas instituições periciais criminais do país</w:t>
      </w:r>
      <w:r w:rsidR="00791A40" w:rsidRPr="0028453A">
        <w:rPr>
          <w:shd w:val="clear" w:color="auto" w:fill="FFFFFF"/>
        </w:rPr>
        <w:t xml:space="preserve">. </w:t>
      </w:r>
    </w:p>
    <w:p w:rsidR="00D2110B" w:rsidRDefault="004D29C5" w:rsidP="00A25A1F">
      <w:pPr>
        <w:spacing w:line="240" w:lineRule="auto"/>
      </w:pPr>
      <w:r>
        <w:tab/>
      </w:r>
      <w:r w:rsidR="00D2110B" w:rsidRPr="00D2110B">
        <w:t>No Amapá o Banco de Perfis Genéticos foi implantado pelo Laboratório de Genética Forense da Polícia Técnico Científica do Amapá (POLITEC)</w:t>
      </w:r>
      <w:r w:rsidR="00C57AD6">
        <w:t xml:space="preserve"> no ano de 2014</w:t>
      </w:r>
      <w:r w:rsidR="00D2110B" w:rsidRPr="00D2110B">
        <w:t>. A criação do banco de DNA no estado permite o armazenamento de dados genéticos dos condenados por crimes hediondos, assim como, amostras biológicas coletadas em locais de crime, restos mortais não identificados, amostras de parentes de pessoas desaparecidas e identificações criminais</w:t>
      </w:r>
      <w:r>
        <w:t xml:space="preserve">. </w:t>
      </w:r>
    </w:p>
    <w:p w:rsidR="004D29C5" w:rsidRDefault="004D29C5" w:rsidP="00A25A1F">
      <w:pPr>
        <w:spacing w:line="240" w:lineRule="auto"/>
      </w:pPr>
      <w:r>
        <w:tab/>
        <w:t xml:space="preserve">O presente trabalho teve como objetivo relatar a implantação do Banco de Perfis Genéticos no estado do Amapá, descrevendo </w:t>
      </w:r>
      <w:r w:rsidR="00C57AD6">
        <w:t>as etapas de</w:t>
      </w:r>
      <w:r>
        <w:t xml:space="preserve"> processamento d</w:t>
      </w:r>
      <w:r w:rsidR="00C57AD6">
        <w:t>os</w:t>
      </w:r>
      <w:r>
        <w:t xml:space="preserve"> diferentes tipos de amostras</w:t>
      </w:r>
      <w:r w:rsidR="00C57AD6">
        <w:t xml:space="preserve">, além de destacar a importância do mesmo na resolução de investigações. </w:t>
      </w:r>
    </w:p>
    <w:p w:rsidR="00B01EB8" w:rsidRDefault="00355C2B" w:rsidP="00A25A1F">
      <w:pPr>
        <w:spacing w:line="240" w:lineRule="auto"/>
      </w:pPr>
      <w:r>
        <w:tab/>
        <w:t xml:space="preserve">O processamento das amostras foi realizado </w:t>
      </w:r>
      <w:r w:rsidRPr="00355C2B">
        <w:t>no Laboratório de Genética Forense e na sala do CODIS da POLITEC</w:t>
      </w:r>
      <w:r>
        <w:t>.</w:t>
      </w:r>
      <w:r w:rsidR="000C40D6">
        <w:t xml:space="preserve"> </w:t>
      </w:r>
      <w:r w:rsidR="000C40D6" w:rsidRPr="000C40D6">
        <w:t>As coletas de amostras foram executadas de acordo com procedimento recomendado pela Secretaria Nacional de Segurança Publica. As extrações foram realizadas por três métodos que variaram de acordo com o tip</w:t>
      </w:r>
      <w:r w:rsidR="00493ACF">
        <w:t xml:space="preserve">o de amostras, podendo ser por: </w:t>
      </w:r>
      <w:proofErr w:type="spellStart"/>
      <w:r w:rsidR="00493ACF">
        <w:t>Chelex</w:t>
      </w:r>
      <w:proofErr w:type="spellEnd"/>
      <w:r w:rsidR="00493ACF">
        <w:t xml:space="preserve">® 100 </w:t>
      </w:r>
      <w:proofErr w:type="spellStart"/>
      <w:r w:rsidR="00493ACF">
        <w:t>Resin</w:t>
      </w:r>
      <w:proofErr w:type="spellEnd"/>
      <w:r w:rsidR="000C40D6" w:rsidRPr="000C40D6">
        <w:t>, Fenol-Clorofórmio ou</w:t>
      </w:r>
      <w:r w:rsidR="000C40D6">
        <w:t xml:space="preserve"> o método automatizado EZ1 </w:t>
      </w:r>
      <w:proofErr w:type="spellStart"/>
      <w:r w:rsidR="000C40D6">
        <w:t>Advanced</w:t>
      </w:r>
      <w:proofErr w:type="spellEnd"/>
      <w:r w:rsidR="000C40D6">
        <w:t xml:space="preserve"> XL</w:t>
      </w:r>
      <w:r w:rsidR="007F27AC">
        <w:rPr>
          <w:color w:val="111111"/>
          <w:shd w:val="clear" w:color="auto" w:fill="FFFFFF"/>
        </w:rPr>
        <w:t xml:space="preserve">. </w:t>
      </w:r>
      <w:r w:rsidR="006127DC">
        <w:rPr>
          <w:color w:val="111111"/>
          <w:shd w:val="clear" w:color="auto" w:fill="FFFFFF"/>
        </w:rPr>
        <w:t xml:space="preserve">Após as extrações foi realizada a quantificação, onde foi utilizado o </w:t>
      </w:r>
      <w:proofErr w:type="spellStart"/>
      <w:r w:rsidR="00CB728F">
        <w:rPr>
          <w:color w:val="111111"/>
          <w:shd w:val="clear" w:color="auto" w:fill="FFFFFF"/>
        </w:rPr>
        <w:t>Plexor</w:t>
      </w:r>
      <w:proofErr w:type="spellEnd"/>
      <w:r w:rsidR="006127DC" w:rsidRPr="003874AE">
        <w:rPr>
          <w:shd w:val="clear" w:color="auto" w:fill="FFFFFF"/>
          <w:vertAlign w:val="superscript"/>
        </w:rPr>
        <w:t>®</w:t>
      </w:r>
      <w:r w:rsidR="006127DC" w:rsidRPr="003874AE">
        <w:rPr>
          <w:shd w:val="clear" w:color="auto" w:fill="FFFFFF"/>
        </w:rPr>
        <w:t xml:space="preserve"> HY System da </w:t>
      </w:r>
      <w:proofErr w:type="spellStart"/>
      <w:r w:rsidR="006127DC" w:rsidRPr="003874AE">
        <w:rPr>
          <w:shd w:val="clear" w:color="auto" w:fill="FFFFFF"/>
        </w:rPr>
        <w:t>Promega</w:t>
      </w:r>
      <w:proofErr w:type="spellEnd"/>
      <w:r w:rsidR="006127DC" w:rsidRPr="003874AE">
        <w:rPr>
          <w:shd w:val="clear" w:color="auto" w:fill="FFFFFF"/>
        </w:rPr>
        <w:t xml:space="preserve"> em conjunto com o </w:t>
      </w:r>
      <w:proofErr w:type="spellStart"/>
      <w:r w:rsidR="006127DC" w:rsidRPr="003874AE">
        <w:rPr>
          <w:shd w:val="clear" w:color="auto" w:fill="FFFFFF"/>
        </w:rPr>
        <w:t>Bio-Rad</w:t>
      </w:r>
      <w:proofErr w:type="spellEnd"/>
      <w:r w:rsidR="006127DC" w:rsidRPr="003874AE">
        <w:rPr>
          <w:shd w:val="clear" w:color="auto" w:fill="FFFFFF"/>
        </w:rPr>
        <w:t xml:space="preserve"> </w:t>
      </w:r>
      <w:proofErr w:type="gramStart"/>
      <w:r w:rsidR="006127DC" w:rsidRPr="003874AE">
        <w:rPr>
          <w:shd w:val="clear" w:color="auto" w:fill="FFFFFF"/>
        </w:rPr>
        <w:t>iQ</w:t>
      </w:r>
      <w:proofErr w:type="gramEnd"/>
      <w:r w:rsidR="006127DC" w:rsidRPr="003874AE">
        <w:rPr>
          <w:shd w:val="clear" w:color="auto" w:fill="FFFFFF"/>
        </w:rPr>
        <w:t xml:space="preserve">™5 Real-Time PCR </w:t>
      </w:r>
      <w:r w:rsidR="006127DC" w:rsidRPr="003874AE">
        <w:t xml:space="preserve">(Reação em Cadeia da Polimerase – </w:t>
      </w:r>
      <w:proofErr w:type="spellStart"/>
      <w:r w:rsidR="006127DC" w:rsidRPr="003874AE">
        <w:t>Polymerase</w:t>
      </w:r>
      <w:proofErr w:type="spellEnd"/>
      <w:r w:rsidR="006127DC" w:rsidRPr="003874AE">
        <w:t xml:space="preserve"> Chain </w:t>
      </w:r>
      <w:proofErr w:type="spellStart"/>
      <w:r w:rsidR="006127DC" w:rsidRPr="003874AE">
        <w:t>Reaction</w:t>
      </w:r>
      <w:proofErr w:type="spellEnd"/>
      <w:r w:rsidR="006127DC" w:rsidRPr="003874AE">
        <w:t>)</w:t>
      </w:r>
      <w:r w:rsidR="006127DC" w:rsidRPr="003874AE">
        <w:rPr>
          <w:shd w:val="clear" w:color="auto" w:fill="FFFFFF"/>
        </w:rPr>
        <w:t xml:space="preserve"> </w:t>
      </w:r>
      <w:proofErr w:type="spellStart"/>
      <w:r w:rsidR="006127DC" w:rsidRPr="003874AE">
        <w:t>Detection</w:t>
      </w:r>
      <w:proofErr w:type="spellEnd"/>
      <w:r w:rsidR="006127DC" w:rsidRPr="003874AE">
        <w:t xml:space="preserve"> System</w:t>
      </w:r>
      <w:r w:rsidR="006127DC" w:rsidRPr="003874AE">
        <w:rPr>
          <w:shd w:val="clear" w:color="auto" w:fill="FFFFFF"/>
        </w:rPr>
        <w:t>.</w:t>
      </w:r>
      <w:r w:rsidR="006127DC">
        <w:rPr>
          <w:shd w:val="clear" w:color="auto" w:fill="FFFFFF"/>
        </w:rPr>
        <w:t xml:space="preserve"> Em seguida foi feita a amplificação do DNA das amostras</w:t>
      </w:r>
      <w:r w:rsidR="00AF51C5">
        <w:rPr>
          <w:shd w:val="clear" w:color="auto" w:fill="FFFFFF"/>
        </w:rPr>
        <w:t>, para tal foi</w:t>
      </w:r>
      <w:r w:rsidR="006127DC" w:rsidRPr="003874AE">
        <w:t xml:space="preserve"> empregado o Kit </w:t>
      </w:r>
      <w:proofErr w:type="spellStart"/>
      <w:r w:rsidR="006127DC" w:rsidRPr="003874AE">
        <w:t>Powerplex</w:t>
      </w:r>
      <w:proofErr w:type="spellEnd"/>
      <w:r w:rsidR="006127DC" w:rsidRPr="003874AE">
        <w:t xml:space="preserve"> 16HS da PROMEGA, que consiste em</w:t>
      </w:r>
      <w:r w:rsidR="006127DC">
        <w:t xml:space="preserve"> um sistema multiplex STR</w:t>
      </w:r>
      <w:r w:rsidR="00AF51C5">
        <w:t xml:space="preserve">. </w:t>
      </w:r>
      <w:r w:rsidR="00DF3CF6">
        <w:t xml:space="preserve"> </w:t>
      </w:r>
      <w:r w:rsidR="006127DC">
        <w:t xml:space="preserve">A </w:t>
      </w:r>
      <w:r w:rsidR="005E7A1D">
        <w:t>ú</w:t>
      </w:r>
      <w:r w:rsidR="006127DC">
        <w:t>ltima etapa laboratorial consistiu na eletrofo</w:t>
      </w:r>
      <w:r w:rsidR="00DF3CF6">
        <w:t>rese capilar, na qual se utilizou</w:t>
      </w:r>
      <w:r w:rsidR="006127DC">
        <w:t xml:space="preserve"> o </w:t>
      </w:r>
      <w:r w:rsidR="006127DC" w:rsidRPr="003874AE">
        <w:t xml:space="preserve">Analisador genético </w:t>
      </w:r>
      <w:proofErr w:type="spellStart"/>
      <w:r w:rsidR="006127DC" w:rsidRPr="003874AE">
        <w:rPr>
          <w:iCs/>
        </w:rPr>
        <w:t>Applied</w:t>
      </w:r>
      <w:proofErr w:type="spellEnd"/>
      <w:r w:rsidR="006127DC" w:rsidRPr="003874AE">
        <w:rPr>
          <w:iCs/>
        </w:rPr>
        <w:t xml:space="preserve"> </w:t>
      </w:r>
      <w:proofErr w:type="spellStart"/>
      <w:r w:rsidR="006127DC" w:rsidRPr="003874AE">
        <w:rPr>
          <w:iCs/>
        </w:rPr>
        <w:t>Biosystem</w:t>
      </w:r>
      <w:proofErr w:type="spellEnd"/>
      <w:r w:rsidR="006127DC" w:rsidRPr="003874AE">
        <w:rPr>
          <w:vertAlign w:val="superscript"/>
        </w:rPr>
        <w:t>®</w:t>
      </w:r>
      <w:r w:rsidR="006127DC">
        <w:t xml:space="preserve"> ABI 3130 da Life Technologies. </w:t>
      </w:r>
      <w:r w:rsidR="005E7A1D">
        <w:t>Por fim, os dados observados no</w:t>
      </w:r>
      <w:r w:rsidR="007E0BD9">
        <w:t>s</w:t>
      </w:r>
      <w:r w:rsidR="005E7A1D">
        <w:t xml:space="preserve"> </w:t>
      </w:r>
      <w:proofErr w:type="spellStart"/>
      <w:r w:rsidR="005E7A1D">
        <w:t>eletroferograma</w:t>
      </w:r>
      <w:r w:rsidR="007E0BD9">
        <w:t>s</w:t>
      </w:r>
      <w:proofErr w:type="spellEnd"/>
      <w:r w:rsidR="007E0BD9">
        <w:t xml:space="preserve"> </w:t>
      </w:r>
      <w:r w:rsidR="005E7A1D">
        <w:t>obtido</w:t>
      </w:r>
      <w:r w:rsidR="00CB728F">
        <w:t>s da eletroforese foram</w:t>
      </w:r>
      <w:r w:rsidR="007E0BD9">
        <w:t xml:space="preserve"> transferidos para uma tabela e des</w:t>
      </w:r>
      <w:r w:rsidR="00CB728F">
        <w:t xml:space="preserve">sa forma inseridos no CODIS-AP. E em seguida enviadas ao BNPG, sendo </w:t>
      </w:r>
      <w:r w:rsidR="00212F35">
        <w:t>armazenado</w:t>
      </w:r>
      <w:r w:rsidR="007E0BD9" w:rsidRPr="003874AE">
        <w:t xml:space="preserve">s </w:t>
      </w:r>
      <w:r w:rsidR="00CB728F">
        <w:t>por categorias</w:t>
      </w:r>
      <w:r w:rsidR="00212F35">
        <w:t xml:space="preserve"> de acordo com os </w:t>
      </w:r>
      <w:r w:rsidR="007E0BD9" w:rsidRPr="003874AE">
        <w:t>casos criminais</w:t>
      </w:r>
      <w:r w:rsidR="00AE5999">
        <w:t xml:space="preserve">. </w:t>
      </w:r>
    </w:p>
    <w:p w:rsidR="007A5274" w:rsidRDefault="00475A66" w:rsidP="00A25A1F">
      <w:pPr>
        <w:pStyle w:val="Default"/>
        <w:jc w:val="both"/>
      </w:pPr>
      <w:r>
        <w:rPr>
          <w:color w:val="auto"/>
        </w:rPr>
        <w:lastRenderedPageBreak/>
        <w:tab/>
      </w:r>
      <w:r w:rsidR="00B01EB8">
        <w:rPr>
          <w:color w:val="auto"/>
        </w:rPr>
        <w:t>No Amapá foram inseridos 247</w:t>
      </w:r>
      <w:r w:rsidR="007A5274" w:rsidRPr="003874AE">
        <w:rPr>
          <w:color w:val="auto"/>
        </w:rPr>
        <w:t xml:space="preserve"> perfis genéticos no sistema CODIS e RIBPG. Das amostras inseridas no banco </w:t>
      </w:r>
      <w:proofErr w:type="gramStart"/>
      <w:r w:rsidR="00493ACF">
        <w:rPr>
          <w:color w:val="auto"/>
        </w:rPr>
        <w:t>a maioria foram</w:t>
      </w:r>
      <w:proofErr w:type="gramEnd"/>
      <w:r w:rsidR="00B01EB8">
        <w:rPr>
          <w:color w:val="auto"/>
        </w:rPr>
        <w:t xml:space="preserve"> de </w:t>
      </w:r>
      <w:r w:rsidR="007A5274" w:rsidRPr="003874AE">
        <w:rPr>
          <w:color w:val="auto"/>
        </w:rPr>
        <w:t>condenados,</w:t>
      </w:r>
      <w:r w:rsidR="00B01EB8">
        <w:rPr>
          <w:color w:val="auto"/>
        </w:rPr>
        <w:t xml:space="preserve"> com cerca 180 amostras cadastradas, em seguida vestígios, </w:t>
      </w:r>
      <w:r w:rsidR="007A5274" w:rsidRPr="003874AE">
        <w:rPr>
          <w:color w:val="auto"/>
        </w:rPr>
        <w:t>restos</w:t>
      </w:r>
      <w:r w:rsidR="00B01EB8">
        <w:rPr>
          <w:color w:val="auto"/>
        </w:rPr>
        <w:t xml:space="preserve"> mortais não identificados e </w:t>
      </w:r>
      <w:r w:rsidR="007A5274" w:rsidRPr="003874AE">
        <w:rPr>
          <w:color w:val="auto"/>
        </w:rPr>
        <w:t xml:space="preserve">familiar de pessoa desaparecida. </w:t>
      </w:r>
      <w:r w:rsidR="007A5274">
        <w:rPr>
          <w:color w:val="auto"/>
        </w:rPr>
        <w:t xml:space="preserve"> </w:t>
      </w:r>
      <w:r w:rsidR="007A5274" w:rsidRPr="003874AE">
        <w:t xml:space="preserve">O Banco </w:t>
      </w:r>
      <w:r>
        <w:t>Nacional possui cerca de 7</w:t>
      </w:r>
      <w:r w:rsidR="007862D2">
        <w:t>.</w:t>
      </w:r>
      <w:r>
        <w:t xml:space="preserve">500 </w:t>
      </w:r>
      <w:r w:rsidRPr="003874AE">
        <w:t>perfis cadastrados</w:t>
      </w:r>
      <w:r>
        <w:t>. O Amapá contribui com 3</w:t>
      </w:r>
      <w:r w:rsidR="007A5274" w:rsidRPr="003874AE">
        <w:t xml:space="preserve">% </w:t>
      </w:r>
      <w:r w:rsidR="00C96BB7">
        <w:t xml:space="preserve">desses perfis, ocupando a décima segunda </w:t>
      </w:r>
      <w:r w:rsidR="007A5274" w:rsidRPr="003874AE">
        <w:t xml:space="preserve">posição no quesito número total de perfis cadastrados, sendo </w:t>
      </w:r>
      <w:r w:rsidR="007A5274" w:rsidRPr="003874AE">
        <w:rPr>
          <w:shd w:val="clear" w:color="auto" w:fill="FFFFFF"/>
        </w:rPr>
        <w:t>o</w:t>
      </w:r>
      <w:r w:rsidR="007862D2">
        <w:rPr>
          <w:shd w:val="clear" w:color="auto" w:fill="FFFFFF"/>
        </w:rPr>
        <w:t xml:space="preserve"> laboratório da Policia Federal o </w:t>
      </w:r>
      <w:r w:rsidR="007A5274" w:rsidRPr="003874AE">
        <w:rPr>
          <w:shd w:val="clear" w:color="auto" w:fill="FFFFFF"/>
        </w:rPr>
        <w:t xml:space="preserve">primeiro lugar </w:t>
      </w:r>
      <w:r w:rsidR="007A5274">
        <w:t>(Gráfico1</w:t>
      </w:r>
      <w:r w:rsidR="007A5274" w:rsidRPr="003874AE">
        <w:t xml:space="preserve">). A expansão do número de perfis cadastrados no CODIS-AP é lenta devido à carência de materiais e, principalmente, de profissionais especializados. Em decorrência da grande demanda a POLITEC-AP possui </w:t>
      </w:r>
      <w:r w:rsidR="007A5274">
        <w:t xml:space="preserve">em espera para o </w:t>
      </w:r>
      <w:r w:rsidR="007A5274" w:rsidRPr="003874AE">
        <w:t>processamento mais de 1</w:t>
      </w:r>
      <w:r w:rsidR="007862D2">
        <w:t>.</w:t>
      </w:r>
      <w:r w:rsidR="007A5274" w:rsidRPr="003874AE">
        <w:t xml:space="preserve">000 amostras questionadas referentes a casos de violência </w:t>
      </w:r>
      <w:proofErr w:type="gramStart"/>
      <w:r w:rsidR="007A5274" w:rsidRPr="003874AE">
        <w:t>sexual positivos para sêmen</w:t>
      </w:r>
      <w:proofErr w:type="gramEnd"/>
      <w:r w:rsidR="007A5274">
        <w:t>.</w:t>
      </w:r>
    </w:p>
    <w:p w:rsidR="00890A22" w:rsidRDefault="00890A22" w:rsidP="007A5274">
      <w:pPr>
        <w:pStyle w:val="Default"/>
        <w:jc w:val="both"/>
      </w:pPr>
    </w:p>
    <w:p w:rsidR="00C96BB7" w:rsidRPr="00B01EB8" w:rsidRDefault="00890A22" w:rsidP="00C96BB7">
      <w:pPr>
        <w:pStyle w:val="Default"/>
        <w:jc w:val="center"/>
      </w:pPr>
      <w:r>
        <w:rPr>
          <w:b/>
        </w:rPr>
        <w:t xml:space="preserve">Gráfico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: </w:t>
      </w:r>
      <w:r>
        <w:t>Contribuição absoluta de amostras  de cada laboratório para o BNPG.</w:t>
      </w:r>
      <w:r w:rsidR="00C96BB7" w:rsidRPr="00C96BB7">
        <w:rPr>
          <w:noProof/>
          <w:lang w:eastAsia="pt-BR"/>
        </w:rPr>
        <w:drawing>
          <wp:inline distT="0" distB="0" distL="0" distR="0">
            <wp:extent cx="4772025" cy="2419350"/>
            <wp:effectExtent l="0" t="0" r="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5274" w:rsidRDefault="007862D2" w:rsidP="007A527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7862D2">
        <w:rPr>
          <w:b/>
          <w:color w:val="auto"/>
        </w:rPr>
        <w:t xml:space="preserve">Fonte: </w:t>
      </w:r>
      <w:r>
        <w:rPr>
          <w:color w:val="auto"/>
        </w:rPr>
        <w:t xml:space="preserve">Adaptado do IV Relatório da RIBPG, 2016. </w:t>
      </w:r>
    </w:p>
    <w:p w:rsidR="00FC79DF" w:rsidRDefault="00FC79DF" w:rsidP="00FC79DF">
      <w:pPr>
        <w:pStyle w:val="Default"/>
        <w:jc w:val="both"/>
        <w:rPr>
          <w:color w:val="auto"/>
        </w:rPr>
      </w:pPr>
      <w:r>
        <w:rPr>
          <w:color w:val="auto"/>
        </w:rPr>
        <w:tab/>
      </w:r>
    </w:p>
    <w:p w:rsidR="00FC79DF" w:rsidRDefault="00FC79DF" w:rsidP="00A25A1F">
      <w:pPr>
        <w:pStyle w:val="Default"/>
        <w:jc w:val="both"/>
      </w:pPr>
      <w:r>
        <w:rPr>
          <w:color w:val="auto"/>
        </w:rPr>
        <w:tab/>
        <w:t xml:space="preserve">A </w:t>
      </w:r>
      <w:r w:rsidRPr="003874AE">
        <w:rPr>
          <w:shd w:val="clear" w:color="auto" w:fill="FFFFFF"/>
        </w:rPr>
        <w:t xml:space="preserve">maioria dos perfis cadastrados no banco nacional são vestígios. </w:t>
      </w:r>
      <w:r>
        <w:rPr>
          <w:shd w:val="clear" w:color="auto" w:fill="FFFFFF"/>
        </w:rPr>
        <w:t>Isso pode ser atribuído a grande quantidade de amostras biológicas oriundas de crimes violentos e sexuais</w:t>
      </w:r>
      <w:r w:rsidR="000210A1">
        <w:rPr>
          <w:shd w:val="clear" w:color="auto" w:fill="FFFFFF"/>
        </w:rPr>
        <w:t>. A</w:t>
      </w:r>
      <w:r w:rsidR="000210A1">
        <w:t xml:space="preserve">penas 12 </w:t>
      </w:r>
      <w:r w:rsidRPr="00297715">
        <w:t>dos 19 lab</w:t>
      </w:r>
      <w:r w:rsidR="000210A1">
        <w:t xml:space="preserve">oratórios cadastrados na RIBPG </w:t>
      </w:r>
      <w:r w:rsidRPr="00297715">
        <w:t xml:space="preserve">inseriram em seus bancos amostras de Condenados e Identificados Criminalmente. Mesmo depois de quatro anos da criação da lei 12.654/12 o número de perfis cadastrados nessa categoria é baixo levando em consideração a população carcerária do Brasil. O baixo registro nessa categoria pode ser explicado pelo difícil acesso a instituições prisionais devido à falta de comunicação entre os </w:t>
      </w:r>
      <w:r>
        <w:t>órgãos responsáveis</w:t>
      </w:r>
      <w:r w:rsidR="000210A1">
        <w:t xml:space="preserve"> e f</w:t>
      </w:r>
      <w:r w:rsidRPr="00297715">
        <w:t>alta de infraestrutura.</w:t>
      </w:r>
      <w:r>
        <w:t xml:space="preserve"> A quantidade de amostras inseridas pe</w:t>
      </w:r>
      <w:r w:rsidR="00493ACF">
        <w:t>lo Amapá nessa categoria tende a aumentar</w:t>
      </w:r>
      <w:r>
        <w:t xml:space="preserve">, pois grande parte das amostras de pessoas condenadas que se enquadram na lei 12.654/12 já </w:t>
      </w:r>
      <w:proofErr w:type="gramStart"/>
      <w:r>
        <w:t>foram coletadas</w:t>
      </w:r>
      <w:proofErr w:type="gramEnd"/>
      <w:r>
        <w:t xml:space="preserve">, e estão gradativamente sendo inseridas no banco de perfis. Além dos perfis de condenados, a categoria de restos mortais não identificados também tende a crescer, pois </w:t>
      </w:r>
      <w:r w:rsidRPr="003874AE">
        <w:t>desde o inicio do ano</w:t>
      </w:r>
      <w:r w:rsidR="000210A1">
        <w:t xml:space="preserve"> de 2015 por </w:t>
      </w:r>
      <w:r w:rsidRPr="003874AE">
        <w:t xml:space="preserve">uma diretriz interna da POLITEC-AP, todos </w:t>
      </w:r>
      <w:r>
        <w:t xml:space="preserve">os cadáveres não identificados, </w:t>
      </w:r>
      <w:r w:rsidRPr="003874AE">
        <w:t>para que sejam liberados para o sepultamento</w:t>
      </w:r>
      <w:r>
        <w:t>,</w:t>
      </w:r>
      <w:r w:rsidRPr="003874AE">
        <w:t xml:space="preserve"> têm que ter seus perfis genéticos inseridos no banco Estadua</w:t>
      </w:r>
      <w:r>
        <w:t>l e Nacional.</w:t>
      </w:r>
    </w:p>
    <w:p w:rsidR="00C57AD6" w:rsidRDefault="00C57AD6" w:rsidP="00A25A1F">
      <w:pPr>
        <w:pStyle w:val="PargrafodaLista"/>
        <w:tabs>
          <w:tab w:val="left" w:pos="567"/>
          <w:tab w:val="left" w:pos="2127"/>
        </w:tabs>
        <w:autoSpaceDE w:val="0"/>
        <w:autoSpaceDN w:val="0"/>
        <w:adjustRightInd w:val="0"/>
        <w:spacing w:line="240" w:lineRule="auto"/>
        <w:ind w:left="0"/>
      </w:pPr>
      <w:r>
        <w:tab/>
      </w:r>
      <w:r w:rsidRPr="00A30EB8">
        <w:t xml:space="preserve">Os métodos </w:t>
      </w:r>
      <w:r>
        <w:t>padronizados para o</w:t>
      </w:r>
      <w:r w:rsidRPr="00A30EB8">
        <w:t xml:space="preserve"> processamento de amostras </w:t>
      </w:r>
      <w:r>
        <w:t xml:space="preserve">destinadas ao CODIS-AP cumprem suas respectivas funções, resultando em perfis genéticos confiáveis para inserção no Banco Nacional. Entretanto, </w:t>
      </w:r>
      <w:r w:rsidRPr="003874AE">
        <w:t xml:space="preserve">são necessários </w:t>
      </w:r>
      <w:r>
        <w:t xml:space="preserve">maiores </w:t>
      </w:r>
      <w:r w:rsidRPr="003874AE">
        <w:t>investimento no desenvolvimento de novas tecnologias com a finalidade de diminuir ainda mais os custo</w:t>
      </w:r>
      <w:r>
        <w:t>s</w:t>
      </w:r>
      <w:r w:rsidRPr="003874AE">
        <w:t xml:space="preserve"> e </w:t>
      </w:r>
      <w:r>
        <w:t xml:space="preserve">o </w:t>
      </w:r>
      <w:r w:rsidRPr="003874AE">
        <w:t>tempo de processamento das amostras, buscando principalmente minimizar a necessidade de interferências humanas durante o processo.</w:t>
      </w:r>
      <w:r>
        <w:t xml:space="preserve"> </w:t>
      </w:r>
      <w:r w:rsidRPr="003874AE">
        <w:t xml:space="preserve">Além da falta de investimentos estruturais, a carência de profissionais também é um fator determinante </w:t>
      </w:r>
      <w:r>
        <w:t>para o avanço do banco.</w:t>
      </w:r>
    </w:p>
    <w:p w:rsidR="00C57AD6" w:rsidRPr="00914628" w:rsidRDefault="00C57AD6" w:rsidP="00A25A1F">
      <w:pPr>
        <w:pStyle w:val="PargrafodaLista"/>
        <w:tabs>
          <w:tab w:val="left" w:pos="567"/>
          <w:tab w:val="left" w:pos="2127"/>
        </w:tabs>
        <w:autoSpaceDE w:val="0"/>
        <w:autoSpaceDN w:val="0"/>
        <w:adjustRightInd w:val="0"/>
        <w:spacing w:line="240" w:lineRule="auto"/>
        <w:ind w:left="0"/>
        <w:rPr>
          <w:color w:val="FF0000"/>
        </w:rPr>
      </w:pPr>
      <w:r>
        <w:tab/>
      </w:r>
      <w:r w:rsidRPr="00914628">
        <w:rPr>
          <w:color w:val="FF0000"/>
        </w:rPr>
        <w:t xml:space="preserve"> </w:t>
      </w:r>
    </w:p>
    <w:p w:rsidR="00C57AD6" w:rsidRPr="00AA3420" w:rsidRDefault="00A31500" w:rsidP="004D29C5">
      <w:pPr>
        <w:spacing w:line="240" w:lineRule="auto"/>
        <w:rPr>
          <w:b/>
          <w:sz w:val="20"/>
          <w:szCs w:val="20"/>
        </w:rPr>
      </w:pPr>
      <w:r w:rsidRPr="00AA3420">
        <w:rPr>
          <w:b/>
          <w:sz w:val="20"/>
          <w:szCs w:val="20"/>
        </w:rPr>
        <w:t>REFERÊNCIAS BIBLIOGRÁFICAS</w:t>
      </w:r>
    </w:p>
    <w:p w:rsidR="00A31500" w:rsidRPr="00AA3420" w:rsidRDefault="00A31500" w:rsidP="00AA3420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AA3420">
        <w:rPr>
          <w:sz w:val="20"/>
          <w:szCs w:val="20"/>
        </w:rPr>
        <w:t xml:space="preserve">BROWN, T.A. </w:t>
      </w:r>
      <w:r w:rsidRPr="00AA3420">
        <w:rPr>
          <w:i/>
          <w:sz w:val="20"/>
          <w:szCs w:val="20"/>
        </w:rPr>
        <w:t>Genética: Um enfoque molecular</w:t>
      </w:r>
      <w:r w:rsidRPr="00AA3420">
        <w:rPr>
          <w:b/>
          <w:sz w:val="20"/>
          <w:szCs w:val="20"/>
        </w:rPr>
        <w:t xml:space="preserve">. </w:t>
      </w:r>
      <w:r w:rsidRPr="00AA3420">
        <w:rPr>
          <w:sz w:val="20"/>
          <w:szCs w:val="20"/>
        </w:rPr>
        <w:t>3ª d. Rio de Janeiro: Guanabara Koogan S. A, 1999.</w:t>
      </w:r>
    </w:p>
    <w:p w:rsidR="00AA3420" w:rsidRPr="00AA3420" w:rsidRDefault="00AA3420" w:rsidP="00AA3420">
      <w:pPr>
        <w:pStyle w:val="Default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sz w:val="20"/>
          <w:szCs w:val="20"/>
        </w:rPr>
      </w:pPr>
      <w:r w:rsidRPr="00AA3420">
        <w:rPr>
          <w:bCs/>
          <w:color w:val="auto"/>
          <w:sz w:val="20"/>
          <w:szCs w:val="20"/>
        </w:rPr>
        <w:lastRenderedPageBreak/>
        <w:t xml:space="preserve">COMITÊ GESTOR DA RIBPG. </w:t>
      </w:r>
      <w:r w:rsidRPr="00AA3420">
        <w:rPr>
          <w:bCs/>
          <w:i/>
          <w:color w:val="auto"/>
          <w:sz w:val="20"/>
          <w:szCs w:val="20"/>
        </w:rPr>
        <w:t>IV Relatório da Rede Integrada de Bancos de Perfis Genéticos</w:t>
      </w:r>
      <w:r w:rsidRPr="00AA3420">
        <w:rPr>
          <w:b/>
          <w:bCs/>
          <w:i/>
          <w:color w:val="auto"/>
          <w:sz w:val="20"/>
          <w:szCs w:val="20"/>
        </w:rPr>
        <w:t xml:space="preserve">. </w:t>
      </w:r>
      <w:r w:rsidRPr="00AA3420">
        <w:rPr>
          <w:bCs/>
          <w:i/>
          <w:color w:val="auto"/>
          <w:sz w:val="20"/>
          <w:szCs w:val="20"/>
        </w:rPr>
        <w:t>Ministério da Justiça</w:t>
      </w:r>
      <w:r w:rsidRPr="00AA3420">
        <w:rPr>
          <w:bCs/>
          <w:color w:val="auto"/>
          <w:sz w:val="20"/>
          <w:szCs w:val="20"/>
        </w:rPr>
        <w:t>. 2016. Disponível em</w:t>
      </w:r>
      <w:r w:rsidRPr="00AA3420">
        <w:rPr>
          <w:b/>
          <w:bCs/>
          <w:color w:val="auto"/>
          <w:sz w:val="20"/>
          <w:szCs w:val="20"/>
        </w:rPr>
        <w:t xml:space="preserve">: </w:t>
      </w:r>
      <w:r w:rsidRPr="00AA3420">
        <w:rPr>
          <w:color w:val="auto"/>
          <w:sz w:val="20"/>
          <w:szCs w:val="20"/>
        </w:rPr>
        <w:t>www.justica.gov.br/sua-seguranca/ribpg. (Acessado em 02/02/2017).</w:t>
      </w:r>
    </w:p>
    <w:p w:rsidR="00A31500" w:rsidRPr="00AA3420" w:rsidRDefault="00AA3420" w:rsidP="00AA3420">
      <w:pPr>
        <w:pStyle w:val="Default"/>
        <w:numPr>
          <w:ilvl w:val="0"/>
          <w:numId w:val="7"/>
        </w:numPr>
        <w:tabs>
          <w:tab w:val="left" w:pos="284"/>
          <w:tab w:val="left" w:pos="2127"/>
        </w:tabs>
        <w:ind w:left="0" w:firstLine="0"/>
        <w:jc w:val="both"/>
        <w:rPr>
          <w:sz w:val="20"/>
          <w:szCs w:val="20"/>
        </w:rPr>
      </w:pPr>
      <w:r w:rsidRPr="00AA3420">
        <w:rPr>
          <w:color w:val="auto"/>
          <w:sz w:val="20"/>
          <w:szCs w:val="20"/>
        </w:rPr>
        <w:t xml:space="preserve">MINAHIM, </w:t>
      </w:r>
      <w:r w:rsidRPr="00AA3420">
        <w:rPr>
          <w:iCs/>
          <w:color w:val="auto"/>
          <w:spacing w:val="15"/>
          <w:sz w:val="20"/>
          <w:szCs w:val="20"/>
          <w:bdr w:val="none" w:sz="0" w:space="0" w:color="auto" w:frame="1"/>
          <w:shd w:val="clear" w:color="auto" w:fill="FFFFFF"/>
        </w:rPr>
        <w:t xml:space="preserve">M. A.. </w:t>
      </w:r>
      <w:r w:rsidRPr="00AA3420">
        <w:rPr>
          <w:color w:val="auto"/>
          <w:sz w:val="20"/>
          <w:szCs w:val="20"/>
        </w:rPr>
        <w:t>Lei 12654: identificação genética ou obtenção constrangida de prova</w:t>
      </w:r>
      <w:proofErr w:type="gramStart"/>
      <w:r w:rsidRPr="00AA3420">
        <w:rPr>
          <w:i/>
          <w:color w:val="auto"/>
          <w:sz w:val="20"/>
          <w:szCs w:val="20"/>
        </w:rPr>
        <w:t>?.</w:t>
      </w:r>
      <w:proofErr w:type="gramEnd"/>
      <w:r w:rsidRPr="00AA3420">
        <w:rPr>
          <w:i/>
          <w:color w:val="auto"/>
          <w:sz w:val="20"/>
          <w:szCs w:val="20"/>
        </w:rPr>
        <w:t xml:space="preserve"> Jornal Carta Forense</w:t>
      </w:r>
      <w:r w:rsidRPr="00AA3420">
        <w:rPr>
          <w:color w:val="auto"/>
          <w:sz w:val="20"/>
          <w:szCs w:val="20"/>
        </w:rPr>
        <w:t xml:space="preserve">, São Paulo, 2012. Disponível em: &lt;http://www.cartaforense.com.br/conteudo/artigos/lei-12654-identificacao-genetica-ou-obtencao-constrangida-de-prova/8838&gt;. </w:t>
      </w:r>
      <w:r w:rsidRPr="00AA3420">
        <w:rPr>
          <w:color w:val="auto"/>
          <w:sz w:val="20"/>
          <w:szCs w:val="20"/>
          <w:lang w:val="en-US"/>
        </w:rPr>
        <w:t>(</w:t>
      </w:r>
      <w:proofErr w:type="spellStart"/>
      <w:r w:rsidRPr="00AA3420">
        <w:rPr>
          <w:color w:val="auto"/>
          <w:sz w:val="20"/>
          <w:szCs w:val="20"/>
          <w:lang w:val="en-US"/>
        </w:rPr>
        <w:t>Acessado</w:t>
      </w:r>
      <w:proofErr w:type="spellEnd"/>
      <w:r w:rsidRPr="00AA3420">
        <w:rPr>
          <w:color w:val="auto"/>
          <w:sz w:val="20"/>
          <w:szCs w:val="20"/>
          <w:lang w:val="en-US"/>
        </w:rPr>
        <w:t xml:space="preserve"> em 02/11/ 2014).</w:t>
      </w:r>
    </w:p>
    <w:p w:rsidR="00A31500" w:rsidRPr="00AA3420" w:rsidRDefault="00A31500" w:rsidP="00AA3420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sz w:val="20"/>
          <w:szCs w:val="20"/>
        </w:rPr>
      </w:pPr>
      <w:proofErr w:type="gramStart"/>
      <w:r w:rsidRPr="00AA3420">
        <w:rPr>
          <w:sz w:val="20"/>
          <w:szCs w:val="20"/>
        </w:rPr>
        <w:t>NÓBREGA ,</w:t>
      </w:r>
      <w:proofErr w:type="gramEnd"/>
      <w:r w:rsidRPr="00AA3420">
        <w:rPr>
          <w:sz w:val="20"/>
          <w:szCs w:val="20"/>
        </w:rPr>
        <w:t xml:space="preserve"> J. M.; SILVA, I. </w:t>
      </w:r>
      <w:r w:rsidRPr="00AA3420">
        <w:rPr>
          <w:color w:val="auto"/>
          <w:sz w:val="20"/>
          <w:szCs w:val="20"/>
        </w:rPr>
        <w:t xml:space="preserve">C. R. </w:t>
      </w:r>
      <w:r w:rsidRPr="00AA3420">
        <w:rPr>
          <w:i/>
          <w:color w:val="auto"/>
          <w:sz w:val="20"/>
          <w:szCs w:val="20"/>
        </w:rPr>
        <w:t>Aplicação De Técnicas De Engenharia Genética Relacionadas À Biociência Forense</w:t>
      </w:r>
      <w:r w:rsidRPr="00AA3420">
        <w:rPr>
          <w:sz w:val="20"/>
          <w:szCs w:val="20"/>
        </w:rPr>
        <w:t>. 2010</w:t>
      </w:r>
      <w:r w:rsidRPr="00AA3420">
        <w:rPr>
          <w:color w:val="auto"/>
          <w:sz w:val="20"/>
          <w:szCs w:val="20"/>
        </w:rPr>
        <w:t>.</w:t>
      </w:r>
      <w:r w:rsidRPr="00AA3420">
        <w:rPr>
          <w:sz w:val="20"/>
          <w:szCs w:val="20"/>
        </w:rPr>
        <w:t xml:space="preserve"> 15 f. Monografia</w:t>
      </w:r>
      <w:r w:rsidRPr="00AA3420">
        <w:rPr>
          <w:color w:val="252B32"/>
          <w:sz w:val="20"/>
          <w:szCs w:val="20"/>
          <w:shd w:val="clear" w:color="auto" w:fill="FFFFFF"/>
        </w:rPr>
        <w:t xml:space="preserve"> (Especialização) Pontifícia Universidade Católica de Goiás, Goiás, </w:t>
      </w:r>
      <w:proofErr w:type="gramStart"/>
      <w:r w:rsidRPr="00AA3420">
        <w:rPr>
          <w:color w:val="252B32"/>
          <w:sz w:val="20"/>
          <w:szCs w:val="20"/>
          <w:shd w:val="clear" w:color="auto" w:fill="FFFFFF"/>
        </w:rPr>
        <w:t>2010</w:t>
      </w:r>
      <w:proofErr w:type="gramEnd"/>
    </w:p>
    <w:p w:rsidR="00A31500" w:rsidRPr="00AA3420" w:rsidRDefault="00A31500" w:rsidP="00AA3420">
      <w:pPr>
        <w:pStyle w:val="Pargrafoda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0"/>
          <w:szCs w:val="20"/>
        </w:rPr>
      </w:pPr>
      <w:r w:rsidRPr="00AA3420">
        <w:rPr>
          <w:sz w:val="20"/>
          <w:szCs w:val="20"/>
        </w:rPr>
        <w:t xml:space="preserve">PENA, Sérgio D.J. </w:t>
      </w:r>
      <w:r w:rsidRPr="00AA3420">
        <w:rPr>
          <w:i/>
          <w:sz w:val="20"/>
          <w:szCs w:val="20"/>
        </w:rPr>
        <w:t>Segurança Pública: determinação de identidade genética pelo DNA</w:t>
      </w:r>
      <w:r w:rsidRPr="00AA3420">
        <w:rPr>
          <w:sz w:val="20"/>
          <w:szCs w:val="20"/>
        </w:rPr>
        <w:t xml:space="preserve">. In: Seminários Temáticos para a 3ª Conferência Nacional de C, T &amp; I. Parcerias Estratégicas, v. 20, p. 447 - </w:t>
      </w:r>
      <w:proofErr w:type="gramStart"/>
      <w:r w:rsidRPr="00AA3420">
        <w:rPr>
          <w:sz w:val="20"/>
          <w:szCs w:val="20"/>
        </w:rPr>
        <w:t>460, 2005</w:t>
      </w:r>
      <w:proofErr w:type="gramEnd"/>
      <w:r w:rsidRPr="00AA3420">
        <w:rPr>
          <w:sz w:val="20"/>
          <w:szCs w:val="20"/>
        </w:rPr>
        <w:t>.</w:t>
      </w:r>
    </w:p>
    <w:p w:rsidR="00A31500" w:rsidRPr="00AA3420" w:rsidRDefault="00A31500" w:rsidP="00AA3420">
      <w:pPr>
        <w:pStyle w:val="PargrafodaLista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AA3420">
        <w:rPr>
          <w:sz w:val="20"/>
          <w:szCs w:val="20"/>
        </w:rPr>
        <w:t xml:space="preserve">VELHO, Jesus A.; GEISER, Gustavo C.; ESPINDULA, </w:t>
      </w:r>
      <w:proofErr w:type="spellStart"/>
      <w:r w:rsidRPr="00AA3420">
        <w:rPr>
          <w:sz w:val="20"/>
          <w:szCs w:val="20"/>
        </w:rPr>
        <w:t>Alberi</w:t>
      </w:r>
      <w:proofErr w:type="spellEnd"/>
      <w:r w:rsidRPr="00AA3420">
        <w:rPr>
          <w:sz w:val="20"/>
          <w:szCs w:val="20"/>
        </w:rPr>
        <w:t xml:space="preserve">. </w:t>
      </w:r>
      <w:r w:rsidRPr="00AA3420">
        <w:rPr>
          <w:i/>
          <w:sz w:val="20"/>
          <w:szCs w:val="20"/>
        </w:rPr>
        <w:t>Ciências Forenses: Uma introdução às principais áreas da criminalística moderna</w:t>
      </w:r>
      <w:r w:rsidRPr="00AA3420">
        <w:rPr>
          <w:sz w:val="20"/>
          <w:szCs w:val="20"/>
        </w:rPr>
        <w:t>. 2ª Ed. Campinas, SP: Millennium Editora, 2013.</w:t>
      </w:r>
    </w:p>
    <w:p w:rsidR="00A31500" w:rsidRPr="00AA3420" w:rsidRDefault="00A31500" w:rsidP="00AA3420">
      <w:pPr>
        <w:pStyle w:val="PargrafodaLista"/>
        <w:tabs>
          <w:tab w:val="left" w:pos="284"/>
        </w:tabs>
        <w:spacing w:line="240" w:lineRule="auto"/>
        <w:ind w:left="0"/>
        <w:rPr>
          <w:sz w:val="20"/>
          <w:szCs w:val="20"/>
        </w:rPr>
      </w:pPr>
    </w:p>
    <w:p w:rsidR="00A31500" w:rsidRPr="00AA3420" w:rsidRDefault="00A31500" w:rsidP="00A31500">
      <w:pPr>
        <w:pStyle w:val="Default"/>
        <w:jc w:val="both"/>
        <w:rPr>
          <w:color w:val="auto"/>
          <w:sz w:val="20"/>
          <w:szCs w:val="20"/>
          <w:lang w:val="en-US"/>
        </w:rPr>
      </w:pPr>
    </w:p>
    <w:p w:rsidR="00A31500" w:rsidRPr="00AA3420" w:rsidRDefault="00A31500" w:rsidP="00A31500">
      <w:pPr>
        <w:pStyle w:val="PargrafodaLista"/>
        <w:tabs>
          <w:tab w:val="left" w:pos="142"/>
          <w:tab w:val="left" w:pos="2127"/>
        </w:tabs>
        <w:spacing w:line="240" w:lineRule="auto"/>
        <w:rPr>
          <w:sz w:val="20"/>
          <w:szCs w:val="20"/>
        </w:rPr>
      </w:pPr>
    </w:p>
    <w:p w:rsidR="00A31500" w:rsidRPr="00AA3420" w:rsidRDefault="00A31500" w:rsidP="00A31500">
      <w:pPr>
        <w:pStyle w:val="PargrafodaLista"/>
        <w:spacing w:line="240" w:lineRule="auto"/>
        <w:ind w:left="0"/>
        <w:rPr>
          <w:sz w:val="20"/>
          <w:szCs w:val="20"/>
        </w:rPr>
      </w:pPr>
    </w:p>
    <w:p w:rsidR="00A31500" w:rsidRPr="00AA3420" w:rsidRDefault="00A31500" w:rsidP="004D29C5">
      <w:pPr>
        <w:spacing w:line="240" w:lineRule="auto"/>
        <w:rPr>
          <w:b/>
          <w:sz w:val="20"/>
          <w:szCs w:val="20"/>
        </w:rPr>
      </w:pPr>
    </w:p>
    <w:p w:rsidR="00A31500" w:rsidRPr="00AA3420" w:rsidRDefault="00A31500" w:rsidP="004D29C5">
      <w:pPr>
        <w:spacing w:line="240" w:lineRule="auto"/>
        <w:rPr>
          <w:b/>
          <w:sz w:val="20"/>
          <w:szCs w:val="20"/>
        </w:rPr>
      </w:pPr>
    </w:p>
    <w:sectPr w:rsidR="00A31500" w:rsidRPr="00AA3420" w:rsidSect="003037F9">
      <w:headerReference w:type="default" r:id="rId10"/>
      <w:footerReference w:type="default" r:id="rId11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0F" w:rsidRDefault="00CC220F" w:rsidP="003752F7">
      <w:pPr>
        <w:spacing w:line="240" w:lineRule="auto"/>
      </w:pPr>
      <w:r>
        <w:separator/>
      </w:r>
    </w:p>
  </w:endnote>
  <w:endnote w:type="continuationSeparator" w:id="0">
    <w:p w:rsidR="00CC220F" w:rsidRDefault="00CC220F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AC1BCE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6D6E62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0F" w:rsidRDefault="00CC220F" w:rsidP="003752F7">
      <w:pPr>
        <w:spacing w:line="240" w:lineRule="auto"/>
      </w:pPr>
      <w:r>
        <w:separator/>
      </w:r>
    </w:p>
  </w:footnote>
  <w:footnote w:type="continuationSeparator" w:id="0">
    <w:p w:rsidR="00CC220F" w:rsidRDefault="00CC220F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 xml:space="preserve">rnacional de Perícia Criminal </w:t>
    </w:r>
    <w:proofErr w:type="gramStart"/>
    <w:r w:rsidR="006044B2">
      <w:rPr>
        <w:bCs/>
        <w:sz w:val="22"/>
        <w:szCs w:val="22"/>
      </w:rPr>
      <w:t>e</w:t>
    </w:r>
    <w:proofErr w:type="gramEnd"/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15571"/>
    <w:multiLevelType w:val="hybridMultilevel"/>
    <w:tmpl w:val="B4E8A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77079"/>
    <w:multiLevelType w:val="hybridMultilevel"/>
    <w:tmpl w:val="531A8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41CDC"/>
    <w:multiLevelType w:val="hybridMultilevel"/>
    <w:tmpl w:val="1DFA7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017C7"/>
    <w:multiLevelType w:val="hybridMultilevel"/>
    <w:tmpl w:val="AF222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10A1"/>
    <w:rsid w:val="00026BC8"/>
    <w:rsid w:val="00042E0A"/>
    <w:rsid w:val="00043C0D"/>
    <w:rsid w:val="00051A3B"/>
    <w:rsid w:val="00053737"/>
    <w:rsid w:val="00053FCD"/>
    <w:rsid w:val="000568E7"/>
    <w:rsid w:val="00080175"/>
    <w:rsid w:val="00090BA6"/>
    <w:rsid w:val="000B38F5"/>
    <w:rsid w:val="000C1762"/>
    <w:rsid w:val="000C40D6"/>
    <w:rsid w:val="000C67DF"/>
    <w:rsid w:val="000C6C07"/>
    <w:rsid w:val="000D64F7"/>
    <w:rsid w:val="000D68E7"/>
    <w:rsid w:val="000E490F"/>
    <w:rsid w:val="000E62DA"/>
    <w:rsid w:val="000F51EC"/>
    <w:rsid w:val="001052AA"/>
    <w:rsid w:val="00115C7E"/>
    <w:rsid w:val="0012394C"/>
    <w:rsid w:val="00123D94"/>
    <w:rsid w:val="00137FE7"/>
    <w:rsid w:val="001451DD"/>
    <w:rsid w:val="00153448"/>
    <w:rsid w:val="0015364A"/>
    <w:rsid w:val="00167EE0"/>
    <w:rsid w:val="0018033F"/>
    <w:rsid w:val="001847FE"/>
    <w:rsid w:val="00195B9B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4704"/>
    <w:rsid w:val="001D7643"/>
    <w:rsid w:val="001E1232"/>
    <w:rsid w:val="001E221F"/>
    <w:rsid w:val="001F5735"/>
    <w:rsid w:val="00212F35"/>
    <w:rsid w:val="00244839"/>
    <w:rsid w:val="00247455"/>
    <w:rsid w:val="00251C8D"/>
    <w:rsid w:val="00256A86"/>
    <w:rsid w:val="00262CE0"/>
    <w:rsid w:val="00266964"/>
    <w:rsid w:val="00272C6D"/>
    <w:rsid w:val="00273933"/>
    <w:rsid w:val="00277039"/>
    <w:rsid w:val="00281DFF"/>
    <w:rsid w:val="00293268"/>
    <w:rsid w:val="00293989"/>
    <w:rsid w:val="002A1F55"/>
    <w:rsid w:val="002C1772"/>
    <w:rsid w:val="002C1DE6"/>
    <w:rsid w:val="002E0322"/>
    <w:rsid w:val="002F7B50"/>
    <w:rsid w:val="003033C9"/>
    <w:rsid w:val="003037F9"/>
    <w:rsid w:val="003212D0"/>
    <w:rsid w:val="0032165A"/>
    <w:rsid w:val="00334F29"/>
    <w:rsid w:val="0034706C"/>
    <w:rsid w:val="00353468"/>
    <w:rsid w:val="00355C2B"/>
    <w:rsid w:val="00357D88"/>
    <w:rsid w:val="00372A5D"/>
    <w:rsid w:val="003752F7"/>
    <w:rsid w:val="0037720B"/>
    <w:rsid w:val="00382120"/>
    <w:rsid w:val="003928AB"/>
    <w:rsid w:val="003D455E"/>
    <w:rsid w:val="003E761E"/>
    <w:rsid w:val="003F0931"/>
    <w:rsid w:val="003F6A7C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75A66"/>
    <w:rsid w:val="00482E7E"/>
    <w:rsid w:val="00486A9E"/>
    <w:rsid w:val="00491EA9"/>
    <w:rsid w:val="00493ACF"/>
    <w:rsid w:val="004A1F23"/>
    <w:rsid w:val="004B1A67"/>
    <w:rsid w:val="004C0F60"/>
    <w:rsid w:val="004D29C5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529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216B"/>
    <w:rsid w:val="005E75EF"/>
    <w:rsid w:val="005E7A1D"/>
    <w:rsid w:val="006028E9"/>
    <w:rsid w:val="006044B2"/>
    <w:rsid w:val="00606784"/>
    <w:rsid w:val="006127DC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D6E62"/>
    <w:rsid w:val="006E3323"/>
    <w:rsid w:val="006E33F4"/>
    <w:rsid w:val="006E4FEA"/>
    <w:rsid w:val="006F43BE"/>
    <w:rsid w:val="00704CD3"/>
    <w:rsid w:val="007148BD"/>
    <w:rsid w:val="00733C52"/>
    <w:rsid w:val="00734E3C"/>
    <w:rsid w:val="00736188"/>
    <w:rsid w:val="007401E5"/>
    <w:rsid w:val="00746985"/>
    <w:rsid w:val="00755A52"/>
    <w:rsid w:val="0078302E"/>
    <w:rsid w:val="00784AD1"/>
    <w:rsid w:val="007862D2"/>
    <w:rsid w:val="00791A40"/>
    <w:rsid w:val="0079623C"/>
    <w:rsid w:val="007A109C"/>
    <w:rsid w:val="007A5274"/>
    <w:rsid w:val="007C522E"/>
    <w:rsid w:val="007C56A9"/>
    <w:rsid w:val="007D0DBB"/>
    <w:rsid w:val="007E0BD9"/>
    <w:rsid w:val="007E2E1A"/>
    <w:rsid w:val="007F27AC"/>
    <w:rsid w:val="007F42AC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649DC"/>
    <w:rsid w:val="00890A22"/>
    <w:rsid w:val="008949B2"/>
    <w:rsid w:val="008B5B05"/>
    <w:rsid w:val="008D7AB4"/>
    <w:rsid w:val="008E2991"/>
    <w:rsid w:val="00905C7B"/>
    <w:rsid w:val="00910D22"/>
    <w:rsid w:val="00914628"/>
    <w:rsid w:val="009217B6"/>
    <w:rsid w:val="00941837"/>
    <w:rsid w:val="00943D37"/>
    <w:rsid w:val="00950EFD"/>
    <w:rsid w:val="009539D7"/>
    <w:rsid w:val="00973188"/>
    <w:rsid w:val="00975B05"/>
    <w:rsid w:val="00987E5E"/>
    <w:rsid w:val="009A202B"/>
    <w:rsid w:val="009A5F55"/>
    <w:rsid w:val="009C1F8E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25A1F"/>
    <w:rsid w:val="00A30721"/>
    <w:rsid w:val="00A31500"/>
    <w:rsid w:val="00A37102"/>
    <w:rsid w:val="00A51761"/>
    <w:rsid w:val="00A5398B"/>
    <w:rsid w:val="00A6702D"/>
    <w:rsid w:val="00A81023"/>
    <w:rsid w:val="00A9079D"/>
    <w:rsid w:val="00A9585D"/>
    <w:rsid w:val="00AA3420"/>
    <w:rsid w:val="00AC1BCE"/>
    <w:rsid w:val="00AE4966"/>
    <w:rsid w:val="00AE583C"/>
    <w:rsid w:val="00AE5999"/>
    <w:rsid w:val="00AF0BDD"/>
    <w:rsid w:val="00AF51C5"/>
    <w:rsid w:val="00B00282"/>
    <w:rsid w:val="00B008DD"/>
    <w:rsid w:val="00B01EB8"/>
    <w:rsid w:val="00B21E36"/>
    <w:rsid w:val="00B2671D"/>
    <w:rsid w:val="00B30B26"/>
    <w:rsid w:val="00B32F1D"/>
    <w:rsid w:val="00B33D8A"/>
    <w:rsid w:val="00B462A0"/>
    <w:rsid w:val="00B50074"/>
    <w:rsid w:val="00B67C40"/>
    <w:rsid w:val="00B702A7"/>
    <w:rsid w:val="00B81B4D"/>
    <w:rsid w:val="00B91686"/>
    <w:rsid w:val="00BA23C0"/>
    <w:rsid w:val="00BA44CE"/>
    <w:rsid w:val="00BD2918"/>
    <w:rsid w:val="00BF6353"/>
    <w:rsid w:val="00C11825"/>
    <w:rsid w:val="00C140FE"/>
    <w:rsid w:val="00C1748C"/>
    <w:rsid w:val="00C26C44"/>
    <w:rsid w:val="00C57AD6"/>
    <w:rsid w:val="00C630D3"/>
    <w:rsid w:val="00C764DF"/>
    <w:rsid w:val="00C86D3A"/>
    <w:rsid w:val="00C92FC6"/>
    <w:rsid w:val="00C92FFA"/>
    <w:rsid w:val="00C96BB7"/>
    <w:rsid w:val="00CA7450"/>
    <w:rsid w:val="00CB728F"/>
    <w:rsid w:val="00CC0AEB"/>
    <w:rsid w:val="00CC220F"/>
    <w:rsid w:val="00CC6B7D"/>
    <w:rsid w:val="00CC7593"/>
    <w:rsid w:val="00CE0BC0"/>
    <w:rsid w:val="00CE1B0E"/>
    <w:rsid w:val="00CE4C43"/>
    <w:rsid w:val="00CE6D58"/>
    <w:rsid w:val="00CF0B20"/>
    <w:rsid w:val="00CF3290"/>
    <w:rsid w:val="00CF5D2A"/>
    <w:rsid w:val="00D026FA"/>
    <w:rsid w:val="00D03AB2"/>
    <w:rsid w:val="00D07C04"/>
    <w:rsid w:val="00D2110B"/>
    <w:rsid w:val="00D31E9E"/>
    <w:rsid w:val="00D348C0"/>
    <w:rsid w:val="00D47BCD"/>
    <w:rsid w:val="00D55EBC"/>
    <w:rsid w:val="00D6094C"/>
    <w:rsid w:val="00D60EF4"/>
    <w:rsid w:val="00D66DB9"/>
    <w:rsid w:val="00D7559F"/>
    <w:rsid w:val="00D77709"/>
    <w:rsid w:val="00D83186"/>
    <w:rsid w:val="00D85888"/>
    <w:rsid w:val="00DB64DF"/>
    <w:rsid w:val="00DC0E24"/>
    <w:rsid w:val="00DD690F"/>
    <w:rsid w:val="00DE2ADD"/>
    <w:rsid w:val="00DF3CF6"/>
    <w:rsid w:val="00DF4C90"/>
    <w:rsid w:val="00DF7C5F"/>
    <w:rsid w:val="00E266AB"/>
    <w:rsid w:val="00E30AA9"/>
    <w:rsid w:val="00E573A1"/>
    <w:rsid w:val="00E65FFC"/>
    <w:rsid w:val="00E97951"/>
    <w:rsid w:val="00E979DF"/>
    <w:rsid w:val="00EA3AA3"/>
    <w:rsid w:val="00EA47BE"/>
    <w:rsid w:val="00EA4AD4"/>
    <w:rsid w:val="00EC12B8"/>
    <w:rsid w:val="00EC6C1D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77289"/>
    <w:rsid w:val="00F80A2A"/>
    <w:rsid w:val="00F90DCE"/>
    <w:rsid w:val="00FA274C"/>
    <w:rsid w:val="00FB34C0"/>
    <w:rsid w:val="00FB6D6C"/>
    <w:rsid w:val="00FC2E7B"/>
    <w:rsid w:val="00FC3308"/>
    <w:rsid w:val="00FC52F9"/>
    <w:rsid w:val="00FC71F5"/>
    <w:rsid w:val="00FC79DF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3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D77709"/>
    <w:rPr>
      <w:i/>
      <w:iCs/>
    </w:rPr>
  </w:style>
  <w:style w:type="character" w:customStyle="1" w:styleId="apple-converted-space">
    <w:name w:val="apple-converted-space"/>
    <w:basedOn w:val="Fontepargpadro"/>
    <w:rsid w:val="007A5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3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D77709"/>
    <w:rPr>
      <w:i/>
      <w:iCs/>
    </w:rPr>
  </w:style>
  <w:style w:type="character" w:customStyle="1" w:styleId="apple-converted-space">
    <w:name w:val="apple-converted-space"/>
    <w:basedOn w:val="Fontepargpadro"/>
    <w:rsid w:val="007A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rda%20pena\Desktop\Resumo%20congresso\grafico%20do%20numero%20total%20de%20amostr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94311712106649"/>
          <c:y val="0.13689007378014756"/>
          <c:w val="0.80569357095887661"/>
          <c:h val="0.7316051832103664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cat>
            <c:strRef>
              <c:f>Plan1!$D$4:$D$22</c:f>
              <c:strCache>
                <c:ptCount val="19"/>
                <c:pt idx="0">
                  <c:v>PF</c:v>
                </c:pt>
                <c:pt idx="1">
                  <c:v>SP </c:v>
                </c:pt>
                <c:pt idx="2">
                  <c:v>MG</c:v>
                </c:pt>
                <c:pt idx="3">
                  <c:v>RS</c:v>
                </c:pt>
                <c:pt idx="4">
                  <c:v>PR</c:v>
                </c:pt>
                <c:pt idx="5">
                  <c:v>RJ</c:v>
                </c:pt>
                <c:pt idx="6">
                  <c:v>DF</c:v>
                </c:pt>
                <c:pt idx="7">
                  <c:v>PB</c:v>
                </c:pt>
                <c:pt idx="8">
                  <c:v>PA</c:v>
                </c:pt>
                <c:pt idx="9">
                  <c:v>MS</c:v>
                </c:pt>
                <c:pt idx="10">
                  <c:v>PE</c:v>
                </c:pt>
                <c:pt idx="11">
                  <c:v>AP</c:v>
                </c:pt>
                <c:pt idx="12">
                  <c:v>SC</c:v>
                </c:pt>
                <c:pt idx="13">
                  <c:v>CE</c:v>
                </c:pt>
                <c:pt idx="14">
                  <c:v>GO</c:v>
                </c:pt>
                <c:pt idx="15">
                  <c:v>ES</c:v>
                </c:pt>
                <c:pt idx="16">
                  <c:v>BA</c:v>
                </c:pt>
                <c:pt idx="17">
                  <c:v>MT</c:v>
                </c:pt>
                <c:pt idx="18">
                  <c:v>AM</c:v>
                </c:pt>
              </c:strCache>
            </c:strRef>
          </c:cat>
          <c:val>
            <c:numRef>
              <c:f>Plan1!$E$4:$E$22</c:f>
              <c:numCache>
                <c:formatCode>0</c:formatCode>
                <c:ptCount val="19"/>
                <c:pt idx="0">
                  <c:v>1141</c:v>
                </c:pt>
                <c:pt idx="1">
                  <c:v>995</c:v>
                </c:pt>
                <c:pt idx="2">
                  <c:v>769</c:v>
                </c:pt>
                <c:pt idx="3">
                  <c:v>703</c:v>
                </c:pt>
                <c:pt idx="4">
                  <c:v>518</c:v>
                </c:pt>
                <c:pt idx="5">
                  <c:v>446</c:v>
                </c:pt>
                <c:pt idx="6">
                  <c:v>360</c:v>
                </c:pt>
                <c:pt idx="7">
                  <c:v>326</c:v>
                </c:pt>
                <c:pt idx="8">
                  <c:v>300</c:v>
                </c:pt>
                <c:pt idx="9">
                  <c:v>274</c:v>
                </c:pt>
                <c:pt idx="10">
                  <c:v>250</c:v>
                </c:pt>
                <c:pt idx="11">
                  <c:v>247</c:v>
                </c:pt>
                <c:pt idx="12">
                  <c:v>233</c:v>
                </c:pt>
                <c:pt idx="13">
                  <c:v>223</c:v>
                </c:pt>
                <c:pt idx="14">
                  <c:v>191</c:v>
                </c:pt>
                <c:pt idx="15">
                  <c:v>179</c:v>
                </c:pt>
                <c:pt idx="16">
                  <c:v>141</c:v>
                </c:pt>
                <c:pt idx="17">
                  <c:v>121</c:v>
                </c:pt>
                <c:pt idx="18">
                  <c:v>106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3858944"/>
        <c:axId val="123860480"/>
      </c:barChart>
      <c:catAx>
        <c:axId val="12385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3860480"/>
        <c:crosses val="autoZero"/>
        <c:auto val="1"/>
        <c:lblAlgn val="ctr"/>
        <c:lblOffset val="100"/>
        <c:noMultiLvlLbl val="0"/>
      </c:catAx>
      <c:valAx>
        <c:axId val="123860480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" sourceLinked="1"/>
        <c:majorTickMark val="out"/>
        <c:minorTickMark val="none"/>
        <c:tickLblPos val="nextTo"/>
        <c:crossAx val="12385894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57372-65B2-4B2A-8CB0-25C2FBF3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2017-07-20T14:47:00Z</dcterms:created>
  <dcterms:modified xsi:type="dcterms:W3CDTF">2017-07-20T14:47:00Z</dcterms:modified>
</cp:coreProperties>
</file>