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9C7B" w14:textId="77777777" w:rsidR="00196018" w:rsidRPr="00813F18" w:rsidRDefault="00530FDE" w:rsidP="00824730">
      <w:pPr>
        <w:spacing w:line="240" w:lineRule="auto"/>
        <w:jc w:val="center"/>
        <w:rPr>
          <w:b/>
        </w:rPr>
      </w:pPr>
      <w:r>
        <w:rPr>
          <w:b/>
        </w:rPr>
        <w:t>Estudo de polimorfismos de nucleotídeo único presentes em regiões de marcadores genéticos STR autoss</w:t>
      </w:r>
      <w:r w:rsidR="00A40594">
        <w:rPr>
          <w:b/>
        </w:rPr>
        <w:t>ômicos em</w:t>
      </w:r>
      <w:r>
        <w:rPr>
          <w:b/>
        </w:rPr>
        <w:t xml:space="preserve"> amostras forenses do estado do Rio de Janeiro</w:t>
      </w:r>
    </w:p>
    <w:p w14:paraId="715FE216" w14:textId="77777777" w:rsidR="00595933" w:rsidRPr="00813F18" w:rsidRDefault="00595933" w:rsidP="00824730">
      <w:pPr>
        <w:spacing w:line="240" w:lineRule="auto"/>
        <w:jc w:val="left"/>
      </w:pPr>
    </w:p>
    <w:p w14:paraId="408C2356" w14:textId="77777777" w:rsidR="006B0CC4" w:rsidRPr="00FC71F5" w:rsidRDefault="006B0CC4" w:rsidP="00824730">
      <w:pPr>
        <w:spacing w:line="240" w:lineRule="auto"/>
        <w:jc w:val="center"/>
      </w:pPr>
      <w:bookmarkStart w:id="0" w:name="_GoBack"/>
      <w:bookmarkEnd w:id="0"/>
    </w:p>
    <w:p w14:paraId="5B346B63" w14:textId="77777777" w:rsidR="00A23487" w:rsidRPr="004B33AF" w:rsidRDefault="00A23487" w:rsidP="00A23487">
      <w:pPr>
        <w:spacing w:line="240" w:lineRule="auto"/>
        <w:ind w:firstLine="851"/>
        <w:rPr>
          <w:bCs/>
          <w:i/>
          <w:iCs/>
          <w:sz w:val="22"/>
          <w:szCs w:val="22"/>
        </w:rPr>
      </w:pPr>
      <w:r w:rsidRPr="004B33AF">
        <w:rPr>
          <w:rStyle w:val="TtulodoLivro1"/>
          <w:rFonts w:ascii="Times New Roman" w:eastAsiaTheme="minorEastAsia" w:hAnsi="Times New Roman"/>
          <w:i w:val="0"/>
          <w:sz w:val="22"/>
          <w:szCs w:val="22"/>
        </w:rPr>
        <w:t>1.INTRODUÇÃO</w:t>
      </w:r>
      <w:r w:rsidRPr="004B33AF">
        <w:rPr>
          <w:i/>
          <w:sz w:val="22"/>
          <w:szCs w:val="22"/>
        </w:rPr>
        <w:tab/>
      </w:r>
    </w:p>
    <w:p w14:paraId="0508AA4E" w14:textId="77777777" w:rsidR="00A40594" w:rsidRDefault="00A40594" w:rsidP="00A40594">
      <w:pPr>
        <w:spacing w:line="240" w:lineRule="auto"/>
        <w:ind w:firstLine="851"/>
        <w:rPr>
          <w:sz w:val="22"/>
        </w:rPr>
      </w:pPr>
      <w:r w:rsidRPr="00A40594">
        <w:rPr>
          <w:sz w:val="22"/>
        </w:rPr>
        <w:t xml:space="preserve">As plataformas de sequenciamento </w:t>
      </w:r>
      <w:r>
        <w:rPr>
          <w:sz w:val="22"/>
        </w:rPr>
        <w:t>massivo paralelo</w:t>
      </w:r>
      <w:r w:rsidRPr="00A40594">
        <w:rPr>
          <w:sz w:val="22"/>
        </w:rPr>
        <w:t xml:space="preserve"> (SMP) de DNA podem contribuir na obtenção de resultados confiáveis nas análises de amostras forenses. No caso das genotipagens por STRs autossômicos, é possível verificar inclusive a presença de polimorfismos de nucleotídeo único presentes nas regiões repetitivas destes marcadores. </w:t>
      </w:r>
      <w:r>
        <w:rPr>
          <w:sz w:val="22"/>
        </w:rPr>
        <w:t xml:space="preserve">Tal detecção, que não é viável com as técnicas atuais de eletroforese capilar, pode contribuir no aumento do poder de discriminação de amostras e na </w:t>
      </w:r>
      <w:proofErr w:type="spellStart"/>
      <w:r>
        <w:rPr>
          <w:sz w:val="22"/>
        </w:rPr>
        <w:t>deconvolução</w:t>
      </w:r>
      <w:proofErr w:type="spellEnd"/>
      <w:r>
        <w:rPr>
          <w:sz w:val="22"/>
        </w:rPr>
        <w:t xml:space="preserve"> de misturas.</w:t>
      </w:r>
    </w:p>
    <w:p w14:paraId="387A370C" w14:textId="77777777" w:rsidR="00A40594" w:rsidRDefault="00A40594" w:rsidP="00A40594">
      <w:pPr>
        <w:spacing w:line="240" w:lineRule="auto"/>
        <w:ind w:firstLine="851"/>
        <w:rPr>
          <w:sz w:val="22"/>
        </w:rPr>
      </w:pPr>
      <w:r w:rsidRPr="00A40594">
        <w:rPr>
          <w:sz w:val="22"/>
          <w:szCs w:val="22"/>
        </w:rPr>
        <w:t>O processo de sequenciamento massivo paralelo realizado no sequencia</w:t>
      </w:r>
      <w:r w:rsidR="002B69AF">
        <w:rPr>
          <w:sz w:val="22"/>
          <w:szCs w:val="22"/>
        </w:rPr>
        <w:t xml:space="preserve">dor Ion Torrent PGM™ baseia-se </w:t>
      </w:r>
      <w:r w:rsidRPr="00A40594">
        <w:rPr>
          <w:sz w:val="22"/>
          <w:szCs w:val="22"/>
        </w:rPr>
        <w:t xml:space="preserve">na detecção da variação de pH, cada vez que um novo nucleotídeo é incorporado à fita nascente de DNA. Antes do sequenciamento, as amostras são identificadas por </w:t>
      </w:r>
      <w:proofErr w:type="spellStart"/>
      <w:r w:rsidRPr="00A40594">
        <w:rPr>
          <w:i/>
          <w:sz w:val="22"/>
          <w:szCs w:val="22"/>
        </w:rPr>
        <w:t>barcodes</w:t>
      </w:r>
      <w:proofErr w:type="spellEnd"/>
      <w:r w:rsidRPr="00A40594">
        <w:rPr>
          <w:sz w:val="22"/>
          <w:szCs w:val="22"/>
        </w:rPr>
        <w:t xml:space="preserve">, pequenas sequências de DNA que são ligadas às amostras. Isso permite que até 96 amostras sejam sequenciadas simultaneamente, e depois seus resultados sejam separados com ajuda de </w:t>
      </w:r>
      <w:r w:rsidRPr="00A40594">
        <w:rPr>
          <w:i/>
          <w:sz w:val="22"/>
          <w:szCs w:val="22"/>
        </w:rPr>
        <w:t>softwares</w:t>
      </w:r>
      <w:r w:rsidRPr="00A40594">
        <w:rPr>
          <w:sz w:val="22"/>
          <w:szCs w:val="22"/>
        </w:rPr>
        <w:t xml:space="preserve"> de análise específicos. </w:t>
      </w:r>
      <w:r w:rsidRPr="00A40594">
        <w:rPr>
          <w:sz w:val="22"/>
        </w:rPr>
        <w:t xml:space="preserve">Entretanto, é fundamental realizar um estudo amostral abrangente para compreender como </w:t>
      </w:r>
      <w:r>
        <w:rPr>
          <w:sz w:val="22"/>
        </w:rPr>
        <w:t>esta técnica</w:t>
      </w:r>
      <w:r w:rsidRPr="00A40594">
        <w:rPr>
          <w:sz w:val="22"/>
        </w:rPr>
        <w:t xml:space="preserve"> pode aumentar a capacidade discri</w:t>
      </w:r>
      <w:r>
        <w:rPr>
          <w:sz w:val="22"/>
        </w:rPr>
        <w:t>minatória nos exames periciais.</w:t>
      </w:r>
    </w:p>
    <w:p w14:paraId="439E907D" w14:textId="77777777" w:rsidR="00A40594" w:rsidRDefault="00A40594" w:rsidP="00A40594">
      <w:pPr>
        <w:spacing w:line="240" w:lineRule="auto"/>
        <w:ind w:firstLine="851"/>
        <w:rPr>
          <w:color w:val="FF0000"/>
          <w:sz w:val="22"/>
          <w:szCs w:val="22"/>
        </w:rPr>
      </w:pPr>
      <w:r w:rsidRPr="00A40594">
        <w:rPr>
          <w:sz w:val="22"/>
        </w:rPr>
        <w:t xml:space="preserve">O objetivo deste estudo é verificar a incidência de polimorfismos em regiões repetitivas </w:t>
      </w:r>
      <w:r>
        <w:rPr>
          <w:sz w:val="22"/>
        </w:rPr>
        <w:t>de marcadores genéticos STR autossômicos em</w:t>
      </w:r>
      <w:r w:rsidRPr="00A40594">
        <w:rPr>
          <w:sz w:val="22"/>
        </w:rPr>
        <w:t xml:space="preserve"> amostras forenses do estado do Rio de Janeiro </w:t>
      </w:r>
      <w:r>
        <w:rPr>
          <w:sz w:val="22"/>
        </w:rPr>
        <w:t xml:space="preserve">e observar de que forma o sequenciamento massivo paralelo pode contribuir no aumento do poder de discriminação de amostras e na </w:t>
      </w:r>
      <w:proofErr w:type="spellStart"/>
      <w:r>
        <w:rPr>
          <w:sz w:val="22"/>
        </w:rPr>
        <w:t>deconvolução</w:t>
      </w:r>
      <w:proofErr w:type="spellEnd"/>
      <w:r>
        <w:rPr>
          <w:sz w:val="22"/>
        </w:rPr>
        <w:t xml:space="preserve"> de misturas.</w:t>
      </w:r>
    </w:p>
    <w:p w14:paraId="3519F00A" w14:textId="77777777" w:rsidR="00A23487" w:rsidRPr="004B33AF" w:rsidRDefault="00A23487" w:rsidP="00A23487">
      <w:pPr>
        <w:pStyle w:val="Ttulo1"/>
        <w:spacing w:before="0" w:after="0" w:line="240" w:lineRule="auto"/>
        <w:ind w:firstLine="851"/>
        <w:rPr>
          <w:rFonts w:ascii="Times New Roman" w:hAnsi="Times New Roman" w:cs="Times New Roman"/>
          <w:sz w:val="22"/>
          <w:szCs w:val="22"/>
        </w:rPr>
      </w:pPr>
      <w:bookmarkStart w:id="1" w:name="_Toc468887682"/>
      <w:r w:rsidRPr="004B33AF">
        <w:rPr>
          <w:rFonts w:ascii="Times New Roman" w:hAnsi="Times New Roman" w:cs="Times New Roman"/>
          <w:sz w:val="22"/>
          <w:szCs w:val="22"/>
        </w:rPr>
        <w:t>2. MATERIAL E MÉTODOS</w:t>
      </w:r>
      <w:bookmarkEnd w:id="1"/>
    </w:p>
    <w:p w14:paraId="3F1A874D" w14:textId="77777777" w:rsidR="00A23487" w:rsidRPr="002C1654" w:rsidRDefault="00A23487" w:rsidP="00A23487">
      <w:pPr>
        <w:spacing w:line="240" w:lineRule="auto"/>
        <w:ind w:firstLine="851"/>
        <w:rPr>
          <w:sz w:val="22"/>
          <w:szCs w:val="22"/>
          <w:lang w:val="en-US"/>
        </w:rPr>
      </w:pPr>
      <w:r w:rsidRPr="002C1654">
        <w:rPr>
          <w:sz w:val="22"/>
          <w:szCs w:val="22"/>
        </w:rPr>
        <w:t>Foram utilizadas neste estudo 28 (vinte e oito) amostras encaminhadas para análise ao Instituto de Pesquisa e Perícias em Genética Forense (IPPGF), da Polícia Civil do E</w:t>
      </w:r>
      <w:r w:rsidR="005B0E75">
        <w:rPr>
          <w:sz w:val="22"/>
          <w:szCs w:val="22"/>
        </w:rPr>
        <w:t xml:space="preserve">stado do Rio de Janeiro (PCERJ), e incluíam ossos, músculos, </w:t>
      </w:r>
      <w:r w:rsidR="008875B6">
        <w:rPr>
          <w:sz w:val="22"/>
          <w:szCs w:val="22"/>
        </w:rPr>
        <w:t xml:space="preserve">dente, </w:t>
      </w:r>
      <w:proofErr w:type="spellStart"/>
      <w:r w:rsidR="008875B6">
        <w:rPr>
          <w:sz w:val="22"/>
          <w:szCs w:val="22"/>
        </w:rPr>
        <w:t>suabes</w:t>
      </w:r>
      <w:proofErr w:type="spellEnd"/>
      <w:r w:rsidR="008875B6">
        <w:rPr>
          <w:sz w:val="22"/>
          <w:szCs w:val="22"/>
        </w:rPr>
        <w:t xml:space="preserve"> orais e </w:t>
      </w:r>
      <w:proofErr w:type="spellStart"/>
      <w:r w:rsidR="008875B6">
        <w:rPr>
          <w:sz w:val="22"/>
          <w:szCs w:val="22"/>
        </w:rPr>
        <w:t>suabes</w:t>
      </w:r>
      <w:proofErr w:type="spellEnd"/>
      <w:r w:rsidR="008875B6">
        <w:rPr>
          <w:sz w:val="22"/>
          <w:szCs w:val="22"/>
        </w:rPr>
        <w:t xml:space="preserve"> de sangue.</w:t>
      </w:r>
      <w:r w:rsidRPr="002C1654">
        <w:rPr>
          <w:sz w:val="22"/>
          <w:szCs w:val="22"/>
        </w:rPr>
        <w:t xml:space="preserve"> As amostras tiveram seu DNA extraído pelo método orgânico descrito por BUTLER (2005). A quantificação do DNA das amostras foi realizada por PCR em tempo real com </w:t>
      </w:r>
      <w:r w:rsidRPr="00DD0BA4">
        <w:rPr>
          <w:sz w:val="22"/>
          <w:szCs w:val="22"/>
        </w:rPr>
        <w:t>o</w:t>
      </w:r>
      <w:r w:rsidRPr="00DD0BA4">
        <w:rPr>
          <w:i/>
          <w:sz w:val="22"/>
          <w:szCs w:val="22"/>
        </w:rPr>
        <w:t xml:space="preserve"> </w:t>
      </w:r>
      <w:proofErr w:type="spellStart"/>
      <w:r w:rsidRPr="00DD0BA4">
        <w:rPr>
          <w:i/>
          <w:sz w:val="22"/>
          <w:szCs w:val="22"/>
        </w:rPr>
        <w:t>Quantifiler</w:t>
      </w:r>
      <w:proofErr w:type="spellEnd"/>
      <w:r w:rsidRPr="00DD0BA4">
        <w:rPr>
          <w:i/>
          <w:sz w:val="22"/>
          <w:szCs w:val="22"/>
        </w:rPr>
        <w:t xml:space="preserve">® HP DNA </w:t>
      </w:r>
      <w:proofErr w:type="spellStart"/>
      <w:r w:rsidRPr="00DD0BA4">
        <w:rPr>
          <w:i/>
          <w:sz w:val="22"/>
          <w:szCs w:val="22"/>
        </w:rPr>
        <w:t>Quantification</w:t>
      </w:r>
      <w:proofErr w:type="spellEnd"/>
      <w:r w:rsidRPr="00DD0BA4">
        <w:rPr>
          <w:i/>
          <w:sz w:val="22"/>
          <w:szCs w:val="22"/>
        </w:rPr>
        <w:t xml:space="preserve"> Kit</w:t>
      </w:r>
      <w:r w:rsidRPr="002C1654">
        <w:rPr>
          <w:sz w:val="22"/>
          <w:szCs w:val="22"/>
        </w:rPr>
        <w:t xml:space="preserve"> da Thermo Fisher Scientific. </w:t>
      </w:r>
      <w:r w:rsidRPr="002C1654">
        <w:rPr>
          <w:sz w:val="22"/>
          <w:szCs w:val="22"/>
          <w:lang w:val="en-US"/>
        </w:rPr>
        <w:t xml:space="preserve">HID v1.2. no </w:t>
      </w:r>
      <w:proofErr w:type="spellStart"/>
      <w:r w:rsidRPr="002C1654">
        <w:rPr>
          <w:sz w:val="22"/>
          <w:szCs w:val="22"/>
          <w:lang w:val="en-US"/>
        </w:rPr>
        <w:t>equipamento</w:t>
      </w:r>
      <w:proofErr w:type="spellEnd"/>
      <w:r w:rsidRPr="002C1654">
        <w:rPr>
          <w:sz w:val="22"/>
          <w:szCs w:val="22"/>
          <w:lang w:val="en-US"/>
        </w:rPr>
        <w:t xml:space="preserve"> </w:t>
      </w:r>
      <w:r w:rsidRPr="00DD0BA4">
        <w:rPr>
          <w:i/>
          <w:sz w:val="22"/>
          <w:szCs w:val="22"/>
          <w:lang w:val="en-US"/>
        </w:rPr>
        <w:t xml:space="preserve">Applied </w:t>
      </w:r>
      <w:proofErr w:type="spellStart"/>
      <w:r w:rsidRPr="00DD0BA4">
        <w:rPr>
          <w:i/>
          <w:sz w:val="22"/>
          <w:szCs w:val="22"/>
          <w:lang w:val="en-US"/>
        </w:rPr>
        <w:t>Biosystems</w:t>
      </w:r>
      <w:proofErr w:type="spellEnd"/>
      <w:r w:rsidRPr="00DD0BA4">
        <w:rPr>
          <w:i/>
          <w:sz w:val="22"/>
          <w:szCs w:val="22"/>
          <w:lang w:val="en-US"/>
        </w:rPr>
        <w:t>® 7500 Real-Time PCR System</w:t>
      </w:r>
      <w:r w:rsidRPr="002C1654">
        <w:rPr>
          <w:sz w:val="22"/>
          <w:szCs w:val="22"/>
          <w:lang w:val="en-US"/>
        </w:rPr>
        <w:t>.</w:t>
      </w:r>
    </w:p>
    <w:p w14:paraId="77C55C60" w14:textId="77777777" w:rsidR="00A23487" w:rsidRPr="008D279E" w:rsidRDefault="00A23487" w:rsidP="00A23487">
      <w:pPr>
        <w:spacing w:line="240" w:lineRule="auto"/>
        <w:ind w:firstLine="851"/>
        <w:rPr>
          <w:b/>
          <w:sz w:val="22"/>
          <w:szCs w:val="22"/>
        </w:rPr>
      </w:pPr>
      <w:bookmarkStart w:id="2" w:name="_Toc468887689"/>
      <w:r w:rsidRPr="008D279E">
        <w:rPr>
          <w:rStyle w:val="Ttulo2Char"/>
          <w:rFonts w:ascii="Times New Roman" w:hAnsi="Times New Roman" w:cs="Times New Roman"/>
          <w:b w:val="0"/>
          <w:color w:val="auto"/>
          <w:sz w:val="22"/>
          <w:szCs w:val="22"/>
        </w:rPr>
        <w:t xml:space="preserve">2.1 </w:t>
      </w:r>
      <w:bookmarkEnd w:id="2"/>
      <w:r w:rsidR="008D279E" w:rsidRPr="004B33AF">
        <w:rPr>
          <w:rStyle w:val="Ttulo2Char"/>
          <w:rFonts w:ascii="Times New Roman" w:hAnsi="Times New Roman" w:cs="Times New Roman"/>
          <w:b w:val="0"/>
          <w:caps/>
          <w:color w:val="auto"/>
          <w:sz w:val="22"/>
          <w:szCs w:val="22"/>
        </w:rPr>
        <w:t>Análise Convencional</w:t>
      </w:r>
    </w:p>
    <w:p w14:paraId="6975D30C" w14:textId="77777777" w:rsidR="00A23487" w:rsidRPr="002C1654" w:rsidRDefault="00A23487" w:rsidP="00A23487">
      <w:pPr>
        <w:spacing w:line="240" w:lineRule="auto"/>
        <w:ind w:firstLine="851"/>
        <w:rPr>
          <w:sz w:val="22"/>
          <w:szCs w:val="22"/>
        </w:rPr>
      </w:pPr>
      <w:r w:rsidRPr="002C1654">
        <w:rPr>
          <w:sz w:val="22"/>
          <w:szCs w:val="22"/>
        </w:rPr>
        <w:t xml:space="preserve">As amostras foram amplificadas através da técnica de PCR, utilizando os Kits </w:t>
      </w:r>
      <w:proofErr w:type="spellStart"/>
      <w:r w:rsidRPr="00DD0BA4">
        <w:rPr>
          <w:i/>
          <w:sz w:val="22"/>
          <w:szCs w:val="22"/>
        </w:rPr>
        <w:t>PowerPlex</w:t>
      </w:r>
      <w:proofErr w:type="spellEnd"/>
      <w:r w:rsidRPr="00DD0BA4">
        <w:rPr>
          <w:i/>
          <w:sz w:val="22"/>
          <w:szCs w:val="22"/>
        </w:rPr>
        <w:t xml:space="preserve">® 16HS, </w:t>
      </w:r>
      <w:proofErr w:type="spellStart"/>
      <w:r w:rsidRPr="00DD0BA4">
        <w:rPr>
          <w:i/>
          <w:sz w:val="22"/>
          <w:szCs w:val="22"/>
        </w:rPr>
        <w:t>PowerPlex</w:t>
      </w:r>
      <w:proofErr w:type="spellEnd"/>
      <w:r w:rsidR="008D279E" w:rsidRPr="00DD0BA4">
        <w:rPr>
          <w:i/>
          <w:sz w:val="22"/>
          <w:szCs w:val="22"/>
        </w:rPr>
        <w:t xml:space="preserve"> </w:t>
      </w:r>
      <w:proofErr w:type="spellStart"/>
      <w:r w:rsidRPr="00DD0BA4">
        <w:rPr>
          <w:i/>
          <w:sz w:val="22"/>
          <w:szCs w:val="22"/>
        </w:rPr>
        <w:t>Fusion</w:t>
      </w:r>
      <w:proofErr w:type="spellEnd"/>
      <w:r w:rsidRPr="002C1654">
        <w:rPr>
          <w:sz w:val="22"/>
          <w:szCs w:val="22"/>
        </w:rPr>
        <w:t xml:space="preserve"> da empresa </w:t>
      </w:r>
      <w:proofErr w:type="spellStart"/>
      <w:r w:rsidRPr="002C1654">
        <w:rPr>
          <w:sz w:val="22"/>
          <w:szCs w:val="22"/>
        </w:rPr>
        <w:t>Promega</w:t>
      </w:r>
      <w:proofErr w:type="spellEnd"/>
      <w:r w:rsidRPr="002C1654">
        <w:rPr>
          <w:sz w:val="22"/>
          <w:szCs w:val="22"/>
        </w:rPr>
        <w:t xml:space="preserve"> Corporation e </w:t>
      </w:r>
      <w:proofErr w:type="spellStart"/>
      <w:r w:rsidRPr="00DD0BA4">
        <w:rPr>
          <w:i/>
          <w:sz w:val="22"/>
          <w:szCs w:val="22"/>
        </w:rPr>
        <w:t>Identifiler</w:t>
      </w:r>
      <w:proofErr w:type="spellEnd"/>
      <w:r w:rsidRPr="00DD0BA4">
        <w:rPr>
          <w:i/>
          <w:sz w:val="22"/>
          <w:szCs w:val="22"/>
        </w:rPr>
        <w:t xml:space="preserve"> Plus</w:t>
      </w:r>
      <w:r w:rsidRPr="002C1654">
        <w:rPr>
          <w:sz w:val="22"/>
          <w:szCs w:val="22"/>
        </w:rPr>
        <w:t xml:space="preserve">, da empresa </w:t>
      </w:r>
      <w:proofErr w:type="spellStart"/>
      <w:r w:rsidRPr="002C1654">
        <w:rPr>
          <w:sz w:val="22"/>
          <w:szCs w:val="22"/>
        </w:rPr>
        <w:t>Applies</w:t>
      </w:r>
      <w:proofErr w:type="spellEnd"/>
      <w:r w:rsidRPr="002C1654">
        <w:rPr>
          <w:sz w:val="22"/>
          <w:szCs w:val="22"/>
        </w:rPr>
        <w:t xml:space="preserve"> </w:t>
      </w:r>
      <w:proofErr w:type="spellStart"/>
      <w:r w:rsidRPr="002C1654">
        <w:rPr>
          <w:sz w:val="22"/>
          <w:szCs w:val="22"/>
        </w:rPr>
        <w:t>Biosystems</w:t>
      </w:r>
      <w:proofErr w:type="spellEnd"/>
      <w:r w:rsidRPr="002C1654">
        <w:rPr>
          <w:sz w:val="22"/>
          <w:szCs w:val="22"/>
        </w:rPr>
        <w:t>®, confo</w:t>
      </w:r>
      <w:r w:rsidR="008D279E">
        <w:rPr>
          <w:sz w:val="22"/>
          <w:szCs w:val="22"/>
        </w:rPr>
        <w:t>r</w:t>
      </w:r>
      <w:r w:rsidRPr="002C1654">
        <w:rPr>
          <w:sz w:val="22"/>
          <w:szCs w:val="22"/>
        </w:rPr>
        <w:t xml:space="preserve">me instruções dos fabricantes. Os produtos amplificados foram analisados por eletroforese capilar através dos sequenciadores ABI PRISM™ 3130 / 3500 </w:t>
      </w:r>
      <w:proofErr w:type="spellStart"/>
      <w:r w:rsidRPr="00DD0BA4">
        <w:rPr>
          <w:i/>
          <w:sz w:val="22"/>
          <w:szCs w:val="22"/>
        </w:rPr>
        <w:t>Genetic</w:t>
      </w:r>
      <w:proofErr w:type="spellEnd"/>
      <w:r w:rsidRPr="00DD0BA4">
        <w:rPr>
          <w:i/>
          <w:sz w:val="22"/>
          <w:szCs w:val="22"/>
        </w:rPr>
        <w:t xml:space="preserve"> </w:t>
      </w:r>
      <w:proofErr w:type="spellStart"/>
      <w:r w:rsidRPr="00DD0BA4">
        <w:rPr>
          <w:i/>
          <w:sz w:val="22"/>
          <w:szCs w:val="22"/>
        </w:rPr>
        <w:t>Analyser</w:t>
      </w:r>
      <w:proofErr w:type="spellEnd"/>
      <w:r w:rsidRPr="002C1654">
        <w:rPr>
          <w:sz w:val="22"/>
          <w:szCs w:val="22"/>
        </w:rPr>
        <w:t xml:space="preserve"> com o auxílio dos softwares </w:t>
      </w:r>
      <w:proofErr w:type="spellStart"/>
      <w:r w:rsidRPr="00DD0BA4">
        <w:rPr>
          <w:i/>
          <w:sz w:val="22"/>
          <w:szCs w:val="22"/>
        </w:rPr>
        <w:t>GeneMapper</w:t>
      </w:r>
      <w:proofErr w:type="spellEnd"/>
      <w:r w:rsidRPr="00DD0BA4">
        <w:rPr>
          <w:i/>
          <w:sz w:val="22"/>
          <w:szCs w:val="22"/>
        </w:rPr>
        <w:t>®</w:t>
      </w:r>
      <w:r w:rsidRPr="002C1654">
        <w:rPr>
          <w:sz w:val="22"/>
          <w:szCs w:val="22"/>
        </w:rPr>
        <w:t xml:space="preserve"> versões 3.2 e ID-X da empresa </w:t>
      </w:r>
      <w:proofErr w:type="spellStart"/>
      <w:r w:rsidRPr="00DD0BA4">
        <w:rPr>
          <w:i/>
          <w:sz w:val="22"/>
          <w:szCs w:val="22"/>
        </w:rPr>
        <w:t>Applied</w:t>
      </w:r>
      <w:proofErr w:type="spellEnd"/>
      <w:r w:rsidRPr="00DD0BA4">
        <w:rPr>
          <w:i/>
          <w:sz w:val="22"/>
          <w:szCs w:val="22"/>
        </w:rPr>
        <w:t xml:space="preserve"> </w:t>
      </w:r>
      <w:proofErr w:type="spellStart"/>
      <w:r w:rsidRPr="00DD0BA4">
        <w:rPr>
          <w:i/>
          <w:sz w:val="22"/>
          <w:szCs w:val="22"/>
        </w:rPr>
        <w:t>Biosystems</w:t>
      </w:r>
      <w:proofErr w:type="spellEnd"/>
      <w:r w:rsidRPr="002C1654">
        <w:rPr>
          <w:sz w:val="22"/>
          <w:szCs w:val="22"/>
        </w:rPr>
        <w:t>®.</w:t>
      </w:r>
    </w:p>
    <w:p w14:paraId="682E5D15" w14:textId="77777777" w:rsidR="00A23487" w:rsidRPr="008D279E" w:rsidRDefault="00A23487" w:rsidP="00A23487">
      <w:pPr>
        <w:pStyle w:val="Ttulo2"/>
        <w:spacing w:before="0" w:line="240" w:lineRule="auto"/>
        <w:ind w:firstLine="851"/>
        <w:rPr>
          <w:rFonts w:ascii="Times New Roman" w:hAnsi="Times New Roman" w:cs="Times New Roman"/>
          <w:b w:val="0"/>
          <w:color w:val="auto"/>
          <w:sz w:val="22"/>
          <w:szCs w:val="22"/>
        </w:rPr>
      </w:pPr>
      <w:bookmarkStart w:id="3" w:name="_Toc468887691"/>
      <w:r w:rsidRPr="008D279E">
        <w:rPr>
          <w:rFonts w:ascii="Times New Roman" w:hAnsi="Times New Roman" w:cs="Times New Roman"/>
          <w:b w:val="0"/>
          <w:color w:val="auto"/>
          <w:sz w:val="22"/>
          <w:szCs w:val="22"/>
        </w:rPr>
        <w:t xml:space="preserve">2.2 </w:t>
      </w:r>
      <w:bookmarkEnd w:id="3"/>
      <w:r w:rsidR="008D279E" w:rsidRPr="004B33AF">
        <w:rPr>
          <w:rFonts w:ascii="Times New Roman" w:hAnsi="Times New Roman" w:cs="Times New Roman"/>
          <w:b w:val="0"/>
          <w:caps/>
          <w:color w:val="auto"/>
          <w:sz w:val="22"/>
          <w:szCs w:val="22"/>
        </w:rPr>
        <w:t>Análise Ion Torrent PGM™</w:t>
      </w:r>
    </w:p>
    <w:p w14:paraId="55B5D3C8" w14:textId="77777777" w:rsidR="00A23487" w:rsidRDefault="00A23487" w:rsidP="00A23487">
      <w:pPr>
        <w:spacing w:line="240" w:lineRule="auto"/>
        <w:ind w:firstLine="851"/>
        <w:rPr>
          <w:sz w:val="22"/>
          <w:szCs w:val="22"/>
        </w:rPr>
      </w:pPr>
      <w:r w:rsidRPr="002C1654">
        <w:rPr>
          <w:sz w:val="22"/>
          <w:szCs w:val="22"/>
        </w:rPr>
        <w:t xml:space="preserve">As 28 amostras foram amplificadas através da técnica de PCR, utilizando o Kit </w:t>
      </w:r>
      <w:proofErr w:type="spellStart"/>
      <w:r w:rsidRPr="002C1654">
        <w:rPr>
          <w:sz w:val="22"/>
          <w:szCs w:val="22"/>
        </w:rPr>
        <w:t>Ion</w:t>
      </w:r>
      <w:proofErr w:type="spellEnd"/>
      <w:r w:rsidRPr="002C1654">
        <w:rPr>
          <w:sz w:val="22"/>
          <w:szCs w:val="22"/>
        </w:rPr>
        <w:t xml:space="preserve"> </w:t>
      </w:r>
      <w:proofErr w:type="spellStart"/>
      <w:r w:rsidRPr="002C1654">
        <w:rPr>
          <w:sz w:val="22"/>
          <w:szCs w:val="22"/>
        </w:rPr>
        <w:t>Torrent</w:t>
      </w:r>
      <w:proofErr w:type="spellEnd"/>
      <w:r w:rsidRPr="002C1654">
        <w:rPr>
          <w:sz w:val="22"/>
          <w:szCs w:val="22"/>
        </w:rPr>
        <w:t xml:space="preserve"> </w:t>
      </w:r>
      <w:proofErr w:type="spellStart"/>
      <w:r w:rsidRPr="00DD0BA4">
        <w:rPr>
          <w:i/>
          <w:sz w:val="22"/>
          <w:szCs w:val="22"/>
        </w:rPr>
        <w:t>Early</w:t>
      </w:r>
      <w:proofErr w:type="spellEnd"/>
      <w:r w:rsidRPr="00DD0BA4">
        <w:rPr>
          <w:i/>
          <w:sz w:val="22"/>
          <w:szCs w:val="22"/>
        </w:rPr>
        <w:t xml:space="preserve"> </w:t>
      </w:r>
      <w:proofErr w:type="spellStart"/>
      <w:r w:rsidRPr="00DD0BA4">
        <w:rPr>
          <w:i/>
          <w:sz w:val="22"/>
          <w:szCs w:val="22"/>
        </w:rPr>
        <w:t>Acess</w:t>
      </w:r>
      <w:proofErr w:type="spellEnd"/>
      <w:r w:rsidRPr="002C1654">
        <w:rPr>
          <w:sz w:val="22"/>
          <w:szCs w:val="22"/>
        </w:rPr>
        <w:t xml:space="preserve"> STR 26-Plex (</w:t>
      </w:r>
      <w:r w:rsidR="00DD0BA4">
        <w:rPr>
          <w:sz w:val="22"/>
          <w:szCs w:val="22"/>
        </w:rPr>
        <w:t xml:space="preserve">gentilmente </w:t>
      </w:r>
      <w:r w:rsidRPr="002C1654">
        <w:rPr>
          <w:sz w:val="22"/>
          <w:szCs w:val="22"/>
        </w:rPr>
        <w:t xml:space="preserve">cedido pela empresa Thermo Fisher Scientific). O sequenciamento das amostras foi realizado na plataforma Ion Torrent PGM™ (Thermo Fisher Scientific), utilizando o Chip 318. </w:t>
      </w:r>
      <w:proofErr w:type="gramStart"/>
      <w:r w:rsidRPr="002C1654">
        <w:rPr>
          <w:sz w:val="22"/>
          <w:szCs w:val="22"/>
        </w:rPr>
        <w:t>v2</w:t>
      </w:r>
      <w:proofErr w:type="gramEnd"/>
      <w:r w:rsidRPr="002C1654">
        <w:rPr>
          <w:sz w:val="22"/>
          <w:szCs w:val="22"/>
        </w:rPr>
        <w:t xml:space="preserve"> e o kit </w:t>
      </w:r>
      <w:proofErr w:type="spellStart"/>
      <w:r w:rsidRPr="00DD0BA4">
        <w:rPr>
          <w:i/>
          <w:sz w:val="22"/>
          <w:szCs w:val="22"/>
        </w:rPr>
        <w:t>Ion</w:t>
      </w:r>
      <w:proofErr w:type="spellEnd"/>
      <w:r w:rsidRPr="00DD0BA4">
        <w:rPr>
          <w:i/>
          <w:sz w:val="22"/>
          <w:szCs w:val="22"/>
        </w:rPr>
        <w:t xml:space="preserve"> PGM</w:t>
      </w:r>
      <w:r w:rsidRPr="00DD0BA4">
        <w:rPr>
          <w:i/>
          <w:sz w:val="22"/>
          <w:szCs w:val="22"/>
          <w:vertAlign w:val="superscript"/>
        </w:rPr>
        <w:t>TM</w:t>
      </w:r>
      <w:r w:rsidRPr="00DD0BA4">
        <w:rPr>
          <w:i/>
          <w:sz w:val="22"/>
          <w:szCs w:val="22"/>
        </w:rPr>
        <w:t xml:space="preserve"> </w:t>
      </w:r>
      <w:proofErr w:type="spellStart"/>
      <w:r w:rsidRPr="00DD0BA4">
        <w:rPr>
          <w:i/>
          <w:sz w:val="22"/>
          <w:szCs w:val="22"/>
        </w:rPr>
        <w:t>Hi</w:t>
      </w:r>
      <w:proofErr w:type="spellEnd"/>
      <w:r w:rsidRPr="00DD0BA4">
        <w:rPr>
          <w:i/>
          <w:sz w:val="22"/>
          <w:szCs w:val="22"/>
        </w:rPr>
        <w:t>-Q</w:t>
      </w:r>
      <w:r w:rsidRPr="00DD0BA4">
        <w:rPr>
          <w:i/>
          <w:sz w:val="22"/>
          <w:szCs w:val="22"/>
          <w:vertAlign w:val="superscript"/>
        </w:rPr>
        <w:t>TM</w:t>
      </w:r>
      <w:r w:rsidRPr="00DD0BA4">
        <w:rPr>
          <w:i/>
          <w:sz w:val="22"/>
          <w:szCs w:val="22"/>
        </w:rPr>
        <w:t xml:space="preserve"> </w:t>
      </w:r>
      <w:proofErr w:type="spellStart"/>
      <w:r w:rsidRPr="00DD0BA4">
        <w:rPr>
          <w:i/>
          <w:sz w:val="22"/>
          <w:szCs w:val="22"/>
        </w:rPr>
        <w:t>Sequencing</w:t>
      </w:r>
      <w:proofErr w:type="spellEnd"/>
      <w:r w:rsidRPr="00DD0BA4">
        <w:rPr>
          <w:i/>
          <w:sz w:val="22"/>
          <w:szCs w:val="22"/>
        </w:rPr>
        <w:t xml:space="preserve"> kit</w:t>
      </w:r>
      <w:r w:rsidRPr="002C1654">
        <w:rPr>
          <w:sz w:val="22"/>
          <w:szCs w:val="22"/>
        </w:rPr>
        <w:t xml:space="preserve"> (</w:t>
      </w:r>
      <w:proofErr w:type="spellStart"/>
      <w:r w:rsidRPr="002C1654">
        <w:rPr>
          <w:sz w:val="22"/>
          <w:szCs w:val="22"/>
        </w:rPr>
        <w:t>Thermo</w:t>
      </w:r>
      <w:proofErr w:type="spellEnd"/>
      <w:r w:rsidRPr="002C1654">
        <w:rPr>
          <w:sz w:val="22"/>
          <w:szCs w:val="22"/>
        </w:rPr>
        <w:t xml:space="preserve"> Fisher Scientific), conforme instruções do fabricante. Os dados gerados foram analisados pelo</w:t>
      </w:r>
      <w:r w:rsidR="008D279E">
        <w:rPr>
          <w:sz w:val="22"/>
          <w:szCs w:val="22"/>
        </w:rPr>
        <w:t xml:space="preserve"> </w:t>
      </w:r>
      <w:proofErr w:type="spellStart"/>
      <w:r w:rsidR="008D279E" w:rsidRPr="00DD0BA4">
        <w:rPr>
          <w:i/>
          <w:sz w:val="22"/>
          <w:szCs w:val="22"/>
        </w:rPr>
        <w:t>Ion</w:t>
      </w:r>
      <w:proofErr w:type="spellEnd"/>
      <w:r w:rsidR="008D279E" w:rsidRPr="00DD0BA4">
        <w:rPr>
          <w:i/>
          <w:sz w:val="22"/>
          <w:szCs w:val="22"/>
        </w:rPr>
        <w:t xml:space="preserve"> </w:t>
      </w:r>
      <w:proofErr w:type="spellStart"/>
      <w:r w:rsidR="008D279E" w:rsidRPr="00DD0BA4">
        <w:rPr>
          <w:i/>
          <w:sz w:val="22"/>
          <w:szCs w:val="22"/>
        </w:rPr>
        <w:t>Torrent</w:t>
      </w:r>
      <w:proofErr w:type="spellEnd"/>
      <w:r w:rsidR="008D279E" w:rsidRPr="00DD0BA4">
        <w:rPr>
          <w:i/>
          <w:sz w:val="22"/>
          <w:szCs w:val="22"/>
        </w:rPr>
        <w:t xml:space="preserve"> </w:t>
      </w:r>
      <w:proofErr w:type="spellStart"/>
      <w:r w:rsidR="008D279E" w:rsidRPr="00DD0BA4">
        <w:rPr>
          <w:i/>
          <w:sz w:val="22"/>
          <w:szCs w:val="22"/>
        </w:rPr>
        <w:t>Suite</w:t>
      </w:r>
      <w:proofErr w:type="spellEnd"/>
      <w:r w:rsidR="008D279E" w:rsidRPr="00DD0BA4">
        <w:rPr>
          <w:i/>
          <w:sz w:val="22"/>
          <w:szCs w:val="22"/>
        </w:rPr>
        <w:t xml:space="preserve"> Server</w:t>
      </w:r>
      <w:r w:rsidR="008D279E">
        <w:rPr>
          <w:sz w:val="22"/>
          <w:szCs w:val="22"/>
        </w:rPr>
        <w:t xml:space="preserve"> com auxílio do </w:t>
      </w:r>
      <w:proofErr w:type="spellStart"/>
      <w:r w:rsidR="008D279E" w:rsidRPr="00DD0BA4">
        <w:rPr>
          <w:i/>
          <w:sz w:val="22"/>
          <w:szCs w:val="22"/>
        </w:rPr>
        <w:t>plugin</w:t>
      </w:r>
      <w:proofErr w:type="spellEnd"/>
      <w:r w:rsidRPr="00DD0BA4">
        <w:rPr>
          <w:i/>
          <w:sz w:val="22"/>
          <w:szCs w:val="22"/>
        </w:rPr>
        <w:t xml:space="preserve"> HID </w:t>
      </w:r>
      <w:proofErr w:type="spellStart"/>
      <w:r w:rsidRPr="00DD0BA4">
        <w:rPr>
          <w:i/>
          <w:sz w:val="22"/>
          <w:szCs w:val="22"/>
        </w:rPr>
        <w:t>Genotyper</w:t>
      </w:r>
      <w:proofErr w:type="spellEnd"/>
      <w:r w:rsidRPr="002C1654">
        <w:rPr>
          <w:sz w:val="22"/>
          <w:szCs w:val="22"/>
        </w:rPr>
        <w:t xml:space="preserve">™ </w:t>
      </w:r>
      <w:proofErr w:type="spellStart"/>
      <w:r w:rsidRPr="00DD0BA4">
        <w:rPr>
          <w:i/>
          <w:sz w:val="22"/>
          <w:szCs w:val="22"/>
        </w:rPr>
        <w:t>plugin</w:t>
      </w:r>
      <w:proofErr w:type="spellEnd"/>
      <w:r w:rsidRPr="002C1654">
        <w:rPr>
          <w:sz w:val="22"/>
          <w:szCs w:val="22"/>
        </w:rPr>
        <w:t xml:space="preserve"> v3.1 (Thermo Fisher Scientific). Os polimorfismos</w:t>
      </w:r>
      <w:r w:rsidR="00DD0BA4">
        <w:rPr>
          <w:sz w:val="22"/>
          <w:szCs w:val="22"/>
        </w:rPr>
        <w:t xml:space="preserve"> foram analisados no</w:t>
      </w:r>
      <w:r w:rsidR="008D279E">
        <w:rPr>
          <w:sz w:val="22"/>
          <w:szCs w:val="22"/>
        </w:rPr>
        <w:t xml:space="preserve"> software</w:t>
      </w:r>
      <w:r w:rsidRPr="002C1654">
        <w:rPr>
          <w:sz w:val="22"/>
          <w:szCs w:val="22"/>
        </w:rPr>
        <w:t xml:space="preserve"> IGV (</w:t>
      </w:r>
      <w:proofErr w:type="spellStart"/>
      <w:r w:rsidRPr="00DD0BA4">
        <w:rPr>
          <w:i/>
          <w:sz w:val="22"/>
          <w:szCs w:val="22"/>
        </w:rPr>
        <w:t>Integrative</w:t>
      </w:r>
      <w:proofErr w:type="spellEnd"/>
      <w:r w:rsidRPr="00DD0BA4">
        <w:rPr>
          <w:i/>
          <w:sz w:val="22"/>
          <w:szCs w:val="22"/>
        </w:rPr>
        <w:t xml:space="preserve"> </w:t>
      </w:r>
      <w:proofErr w:type="spellStart"/>
      <w:r w:rsidRPr="00DD0BA4">
        <w:rPr>
          <w:i/>
          <w:sz w:val="22"/>
          <w:szCs w:val="22"/>
        </w:rPr>
        <w:t>Genomics</w:t>
      </w:r>
      <w:proofErr w:type="spellEnd"/>
      <w:r w:rsidRPr="00DD0BA4">
        <w:rPr>
          <w:i/>
          <w:sz w:val="22"/>
          <w:szCs w:val="22"/>
        </w:rPr>
        <w:t xml:space="preserve"> </w:t>
      </w:r>
      <w:proofErr w:type="spellStart"/>
      <w:r w:rsidRPr="00DD0BA4">
        <w:rPr>
          <w:i/>
          <w:sz w:val="22"/>
          <w:szCs w:val="22"/>
        </w:rPr>
        <w:t>Viewer</w:t>
      </w:r>
      <w:proofErr w:type="spellEnd"/>
      <w:r w:rsidRPr="002C1654">
        <w:rPr>
          <w:sz w:val="22"/>
          <w:szCs w:val="22"/>
        </w:rPr>
        <w:t>)</w:t>
      </w:r>
      <w:r w:rsidR="008875B6">
        <w:rPr>
          <w:sz w:val="22"/>
          <w:szCs w:val="22"/>
        </w:rPr>
        <w:t xml:space="preserve"> e o cálculo dos parâmetros forenses foi realizado com o software </w:t>
      </w:r>
      <w:r w:rsidR="008875B6" w:rsidRPr="00DD0BA4">
        <w:rPr>
          <w:i/>
          <w:sz w:val="22"/>
          <w:szCs w:val="22"/>
        </w:rPr>
        <w:t>PowerStats v.12</w:t>
      </w:r>
      <w:r w:rsidR="008875B6">
        <w:rPr>
          <w:sz w:val="22"/>
          <w:szCs w:val="22"/>
        </w:rPr>
        <w:t>.</w:t>
      </w:r>
    </w:p>
    <w:p w14:paraId="3B8A81BD" w14:textId="77777777" w:rsidR="004B4FC8" w:rsidRDefault="004B4FC8" w:rsidP="004B4FC8">
      <w:pPr>
        <w:spacing w:line="240" w:lineRule="auto"/>
        <w:ind w:firstLine="851"/>
        <w:rPr>
          <w:b/>
          <w:sz w:val="22"/>
          <w:szCs w:val="22"/>
        </w:rPr>
      </w:pPr>
      <w:bookmarkStart w:id="4" w:name="_Toc468887697"/>
      <w:r w:rsidRPr="004B33AF">
        <w:rPr>
          <w:b/>
          <w:sz w:val="22"/>
          <w:szCs w:val="22"/>
        </w:rPr>
        <w:t>3. RESULTADO</w:t>
      </w:r>
      <w:bookmarkStart w:id="5" w:name="_Toc468887698"/>
      <w:bookmarkEnd w:id="4"/>
      <w:r w:rsidRPr="004B33AF">
        <w:rPr>
          <w:b/>
          <w:sz w:val="22"/>
          <w:szCs w:val="22"/>
        </w:rPr>
        <w:t>S</w:t>
      </w:r>
      <w:bookmarkEnd w:id="5"/>
    </w:p>
    <w:p w14:paraId="4BA00095" w14:textId="77777777" w:rsidR="004B4FC8" w:rsidRDefault="004B4FC8" w:rsidP="004B4FC8">
      <w:pPr>
        <w:spacing w:line="240" w:lineRule="auto"/>
        <w:ind w:firstLine="851"/>
        <w:rPr>
          <w:sz w:val="22"/>
          <w:szCs w:val="22"/>
        </w:rPr>
      </w:pPr>
      <w:r w:rsidRPr="002C1654">
        <w:rPr>
          <w:sz w:val="22"/>
          <w:szCs w:val="22"/>
        </w:rPr>
        <w:t xml:space="preserve">Os resultados do sequenciamento </w:t>
      </w:r>
      <w:r>
        <w:rPr>
          <w:sz w:val="22"/>
          <w:szCs w:val="22"/>
        </w:rPr>
        <w:t>massivo paralelo</w:t>
      </w:r>
      <w:r w:rsidRPr="002C1654">
        <w:rPr>
          <w:sz w:val="22"/>
          <w:szCs w:val="22"/>
        </w:rPr>
        <w:t xml:space="preserve"> das amostras apresentam plena concordância com os resultados da eletroforese capilar. </w:t>
      </w:r>
      <w:r>
        <w:rPr>
          <w:sz w:val="22"/>
          <w:szCs w:val="22"/>
        </w:rPr>
        <w:t>Entretanto, graças à possibilidade de identificar os alelos não apenas pelo tamanho</w:t>
      </w:r>
      <w:proofErr w:type="gramStart"/>
      <w:r>
        <w:rPr>
          <w:sz w:val="22"/>
          <w:szCs w:val="22"/>
        </w:rPr>
        <w:t xml:space="preserve"> mas</w:t>
      </w:r>
      <w:proofErr w:type="gramEnd"/>
      <w:r>
        <w:rPr>
          <w:sz w:val="22"/>
          <w:szCs w:val="22"/>
        </w:rPr>
        <w:t xml:space="preserve"> também por sua sequência, foi possível observar que algumas amostras que apareciam homozigotas na eletroforese capilar eram, na verdade, heterozigotas de sequência (Figura 1).</w:t>
      </w:r>
    </w:p>
    <w:p w14:paraId="54433490" w14:textId="77777777" w:rsidR="004B4FC8" w:rsidRDefault="004B4FC8" w:rsidP="004B4FC8">
      <w:pPr>
        <w:spacing w:line="240" w:lineRule="auto"/>
        <w:ind w:firstLine="851"/>
        <w:rPr>
          <w:sz w:val="22"/>
          <w:szCs w:val="22"/>
        </w:rPr>
      </w:pPr>
      <w:r w:rsidRPr="002C1654">
        <w:rPr>
          <w:sz w:val="22"/>
          <w:szCs w:val="22"/>
        </w:rPr>
        <w:t xml:space="preserve">Em razão desses polimorfismos detectados pelo SMP, houve um aumento </w:t>
      </w:r>
      <w:r>
        <w:rPr>
          <w:sz w:val="22"/>
          <w:szCs w:val="22"/>
        </w:rPr>
        <w:t>no número</w:t>
      </w:r>
      <w:r w:rsidRPr="002C1654">
        <w:rPr>
          <w:sz w:val="22"/>
          <w:szCs w:val="22"/>
        </w:rPr>
        <w:t xml:space="preserve"> de alelos encontrados em comparação com a eletroforese</w:t>
      </w:r>
      <w:r>
        <w:rPr>
          <w:sz w:val="22"/>
          <w:szCs w:val="22"/>
        </w:rPr>
        <w:t xml:space="preserve"> capilar em alguns locais</w:t>
      </w:r>
      <w:r w:rsidRPr="002C1654">
        <w:rPr>
          <w:sz w:val="22"/>
          <w:szCs w:val="22"/>
        </w:rPr>
        <w:t xml:space="preserve"> (Figura 3).</w:t>
      </w:r>
      <w:r>
        <w:rPr>
          <w:sz w:val="22"/>
          <w:szCs w:val="22"/>
        </w:rPr>
        <w:t xml:space="preserve"> Consequentemente, os parâmetros forenses para estes locais foram alterados, demonstrando essa maior variedade (Tabela 1).</w:t>
      </w:r>
    </w:p>
    <w:p w14:paraId="31444963" w14:textId="77777777" w:rsidR="004B4FC8" w:rsidRDefault="004B4FC8" w:rsidP="00A23487">
      <w:pPr>
        <w:spacing w:line="240" w:lineRule="auto"/>
        <w:ind w:firstLine="851"/>
        <w:rPr>
          <w:sz w:val="22"/>
          <w:szCs w:val="22"/>
        </w:rPr>
      </w:pPr>
    </w:p>
    <w:p w14:paraId="23C022F9" w14:textId="77777777" w:rsidR="00A23487" w:rsidRDefault="004B4FC8" w:rsidP="004B4FC8">
      <w:pPr>
        <w:spacing w:line="240" w:lineRule="auto"/>
        <w:ind w:firstLine="851"/>
        <w:rPr>
          <w:i/>
          <w:iCs/>
          <w:sz w:val="22"/>
          <w:szCs w:val="22"/>
        </w:rPr>
      </w:pPr>
      <w:r w:rsidRPr="002C1654">
        <w:rPr>
          <w:noProof/>
          <w:sz w:val="22"/>
          <w:szCs w:val="22"/>
        </w:rPr>
        <w:lastRenderedPageBreak/>
        <w:drawing>
          <wp:anchor distT="0" distB="0" distL="114300" distR="114300" simplePos="0" relativeHeight="251660288" behindDoc="1" locked="0" layoutInCell="1" allowOverlap="1" wp14:anchorId="1A06EC8A" wp14:editId="16AD1991">
            <wp:simplePos x="0" y="0"/>
            <wp:positionH relativeFrom="page">
              <wp:posOffset>1845310</wp:posOffset>
            </wp:positionH>
            <wp:positionV relativeFrom="paragraph">
              <wp:posOffset>48895</wp:posOffset>
            </wp:positionV>
            <wp:extent cx="3905885" cy="2245995"/>
            <wp:effectExtent l="0" t="0" r="0" b="1905"/>
            <wp:wrapTopAndBottom/>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7.png"/>
                    <pic:cNvPicPr/>
                  </pic:nvPicPr>
                  <pic:blipFill>
                    <a:blip r:embed="rId9">
                      <a:extLst>
                        <a:ext uri="{28A0092B-C50C-407E-A947-70E740481C1C}">
                          <a14:useLocalDpi xmlns:a14="http://schemas.microsoft.com/office/drawing/2010/main" val="0"/>
                        </a:ext>
                      </a:extLst>
                    </a:blip>
                    <a:stretch>
                      <a:fillRect/>
                    </a:stretch>
                  </pic:blipFill>
                  <pic:spPr>
                    <a:xfrm>
                      <a:off x="0" y="0"/>
                      <a:ext cx="3905885" cy="2245995"/>
                    </a:xfrm>
                    <a:prstGeom prst="rect">
                      <a:avLst/>
                    </a:prstGeom>
                  </pic:spPr>
                </pic:pic>
              </a:graphicData>
            </a:graphic>
            <wp14:sizeRelH relativeFrom="page">
              <wp14:pctWidth>0</wp14:pctWidth>
            </wp14:sizeRelH>
            <wp14:sizeRelV relativeFrom="page">
              <wp14:pctHeight>0</wp14:pctHeight>
            </wp14:sizeRelV>
          </wp:anchor>
        </w:drawing>
      </w:r>
      <w:bookmarkStart w:id="6" w:name="_Toc467481329"/>
      <w:r w:rsidR="00A23487" w:rsidRPr="002C1654">
        <w:rPr>
          <w:b/>
          <w:sz w:val="22"/>
          <w:szCs w:val="22"/>
        </w:rPr>
        <w:t xml:space="preserve">Figura </w:t>
      </w:r>
      <w:r w:rsidR="00526D61" w:rsidRPr="004B4FC8">
        <w:rPr>
          <w:b/>
          <w:iCs/>
          <w:sz w:val="22"/>
          <w:szCs w:val="22"/>
        </w:rPr>
        <w:t>1</w:t>
      </w:r>
      <w:r w:rsidR="00A23487" w:rsidRPr="004B4FC8">
        <w:rPr>
          <w:b/>
          <w:sz w:val="22"/>
          <w:szCs w:val="22"/>
        </w:rPr>
        <w:t>.</w:t>
      </w:r>
      <w:r w:rsidR="00A23487" w:rsidRPr="002C1654">
        <w:rPr>
          <w:sz w:val="22"/>
          <w:szCs w:val="22"/>
        </w:rPr>
        <w:t xml:space="preserve"> Análise do local genético D3S1358 em uma amostra de </w:t>
      </w:r>
      <w:proofErr w:type="spellStart"/>
      <w:r w:rsidR="00526D61">
        <w:rPr>
          <w:i/>
          <w:iCs/>
          <w:sz w:val="22"/>
          <w:szCs w:val="22"/>
        </w:rPr>
        <w:t>suabe</w:t>
      </w:r>
      <w:proofErr w:type="spellEnd"/>
      <w:r w:rsidR="00A23487" w:rsidRPr="002C1654">
        <w:rPr>
          <w:sz w:val="22"/>
          <w:szCs w:val="22"/>
        </w:rPr>
        <w:t xml:space="preserve"> de sangue. À esquerda, o resultado da eletroforese capilar mostra um perfil homozigoto, com 2 alelos de 15 repetições. À direita, na análise por sequenciamento </w:t>
      </w:r>
      <w:r w:rsidR="00526D61">
        <w:rPr>
          <w:i/>
          <w:iCs/>
          <w:sz w:val="22"/>
          <w:szCs w:val="22"/>
        </w:rPr>
        <w:t>massivo paralelo</w:t>
      </w:r>
      <w:r w:rsidR="00A23487" w:rsidRPr="002C1654">
        <w:rPr>
          <w:sz w:val="22"/>
          <w:szCs w:val="22"/>
        </w:rPr>
        <w:t>, é possível identificar que estes alelos apresentam o mesmo tamanho, porém sequências diferentes, caracterizando um perfil heterozigoto de sequência</w:t>
      </w:r>
      <w:bookmarkEnd w:id="6"/>
      <w:r w:rsidR="00526D61">
        <w:rPr>
          <w:i/>
          <w:iCs/>
          <w:sz w:val="22"/>
          <w:szCs w:val="22"/>
        </w:rPr>
        <w:t>.</w:t>
      </w:r>
    </w:p>
    <w:p w14:paraId="1D0A734A" w14:textId="77777777" w:rsidR="00172224" w:rsidRPr="002C1654" w:rsidRDefault="00172224" w:rsidP="00A23487">
      <w:pPr>
        <w:spacing w:line="240" w:lineRule="auto"/>
        <w:ind w:firstLine="851"/>
        <w:rPr>
          <w:sz w:val="22"/>
          <w:szCs w:val="22"/>
        </w:rPr>
      </w:pPr>
    </w:p>
    <w:p w14:paraId="34F5A6A4" w14:textId="77777777" w:rsidR="00A23487" w:rsidRPr="002C1654" w:rsidRDefault="004B4FC8" w:rsidP="00A23487">
      <w:pPr>
        <w:tabs>
          <w:tab w:val="left" w:pos="3981"/>
        </w:tabs>
        <w:spacing w:line="240" w:lineRule="auto"/>
        <w:ind w:firstLine="851"/>
        <w:rPr>
          <w:color w:val="000000" w:themeColor="text1"/>
          <w:sz w:val="22"/>
          <w:szCs w:val="22"/>
        </w:rPr>
      </w:pPr>
      <w:r w:rsidRPr="002C1654">
        <w:rPr>
          <w:noProof/>
          <w:sz w:val="22"/>
          <w:szCs w:val="22"/>
        </w:rPr>
        <w:drawing>
          <wp:anchor distT="0" distB="0" distL="114300" distR="114300" simplePos="0" relativeHeight="251659264" behindDoc="1" locked="0" layoutInCell="1" allowOverlap="1" wp14:anchorId="09BA8255" wp14:editId="5326A243">
            <wp:simplePos x="0" y="0"/>
            <wp:positionH relativeFrom="column">
              <wp:posOffset>28054</wp:posOffset>
            </wp:positionH>
            <wp:positionV relativeFrom="paragraph">
              <wp:posOffset>-5756</wp:posOffset>
            </wp:positionV>
            <wp:extent cx="6115793" cy="1662545"/>
            <wp:effectExtent l="0" t="0" r="18415" b="13970"/>
            <wp:wrapNone/>
            <wp:docPr id="9"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23487" w:rsidRPr="002C1654">
        <w:rPr>
          <w:color w:val="000000" w:themeColor="text1"/>
          <w:sz w:val="22"/>
          <w:szCs w:val="22"/>
        </w:rPr>
        <w:tab/>
      </w:r>
    </w:p>
    <w:p w14:paraId="4F06A35D" w14:textId="77777777" w:rsidR="00A23487" w:rsidRPr="002C1654" w:rsidRDefault="00A23487" w:rsidP="00A23487">
      <w:pPr>
        <w:tabs>
          <w:tab w:val="left" w:pos="1868"/>
        </w:tabs>
        <w:spacing w:line="240" w:lineRule="auto"/>
        <w:ind w:firstLine="851"/>
        <w:rPr>
          <w:rStyle w:val="TtulodoLivro1"/>
          <w:rFonts w:ascii="Times New Roman" w:eastAsiaTheme="minorEastAsia" w:hAnsi="Times New Roman"/>
          <w:i w:val="0"/>
          <w:sz w:val="22"/>
          <w:szCs w:val="22"/>
        </w:rPr>
      </w:pPr>
      <w:r w:rsidRPr="002C1654">
        <w:rPr>
          <w:rStyle w:val="TtulodoLivro1"/>
          <w:rFonts w:ascii="Times New Roman" w:eastAsiaTheme="minorEastAsia" w:hAnsi="Times New Roman"/>
          <w:sz w:val="22"/>
          <w:szCs w:val="22"/>
        </w:rPr>
        <w:tab/>
      </w:r>
    </w:p>
    <w:p w14:paraId="4CB6130E" w14:textId="77777777" w:rsidR="00A23487" w:rsidRPr="002C1654" w:rsidRDefault="00A23487" w:rsidP="00A23487">
      <w:pPr>
        <w:spacing w:line="240" w:lineRule="auto"/>
        <w:ind w:firstLine="851"/>
        <w:rPr>
          <w:rStyle w:val="TtulodoLivro1"/>
          <w:rFonts w:ascii="Times New Roman" w:eastAsiaTheme="minorEastAsia" w:hAnsi="Times New Roman"/>
          <w:i w:val="0"/>
          <w:sz w:val="22"/>
          <w:szCs w:val="22"/>
        </w:rPr>
      </w:pPr>
    </w:p>
    <w:p w14:paraId="0005EBFD" w14:textId="77777777" w:rsidR="00A23487" w:rsidRPr="002C1654" w:rsidRDefault="00A23487" w:rsidP="00A23487">
      <w:pPr>
        <w:spacing w:line="240" w:lineRule="auto"/>
        <w:ind w:firstLine="851"/>
        <w:rPr>
          <w:rStyle w:val="TtulodoLivro1"/>
          <w:rFonts w:ascii="Times New Roman" w:eastAsiaTheme="minorEastAsia" w:hAnsi="Times New Roman"/>
          <w:i w:val="0"/>
          <w:sz w:val="22"/>
          <w:szCs w:val="22"/>
        </w:rPr>
      </w:pPr>
    </w:p>
    <w:p w14:paraId="7E3AEB99" w14:textId="77777777" w:rsidR="00A23487" w:rsidRPr="002C1654" w:rsidRDefault="00A23487" w:rsidP="00A23487">
      <w:pPr>
        <w:spacing w:line="240" w:lineRule="auto"/>
        <w:ind w:firstLine="851"/>
        <w:rPr>
          <w:rStyle w:val="TtulodoLivro1"/>
          <w:rFonts w:ascii="Times New Roman" w:eastAsiaTheme="minorEastAsia" w:hAnsi="Times New Roman"/>
          <w:i w:val="0"/>
          <w:sz w:val="22"/>
          <w:szCs w:val="22"/>
        </w:rPr>
      </w:pPr>
    </w:p>
    <w:p w14:paraId="356D509C" w14:textId="77777777" w:rsidR="00A23487" w:rsidRPr="002C1654" w:rsidRDefault="00A23487" w:rsidP="00A23487">
      <w:pPr>
        <w:spacing w:line="240" w:lineRule="auto"/>
        <w:ind w:firstLine="851"/>
        <w:rPr>
          <w:rStyle w:val="TtulodoLivro1"/>
          <w:rFonts w:ascii="Times New Roman" w:eastAsiaTheme="minorEastAsia" w:hAnsi="Times New Roman"/>
          <w:i w:val="0"/>
          <w:sz w:val="22"/>
          <w:szCs w:val="22"/>
        </w:rPr>
      </w:pPr>
    </w:p>
    <w:p w14:paraId="3DBA3408" w14:textId="77777777" w:rsidR="00A23487" w:rsidRPr="002C1654" w:rsidRDefault="00A23487" w:rsidP="00A23487">
      <w:pPr>
        <w:spacing w:line="240" w:lineRule="auto"/>
        <w:ind w:firstLine="851"/>
        <w:rPr>
          <w:rStyle w:val="TtulodoLivro1"/>
          <w:rFonts w:ascii="Times New Roman" w:eastAsiaTheme="minorEastAsia" w:hAnsi="Times New Roman"/>
          <w:i w:val="0"/>
          <w:sz w:val="22"/>
          <w:szCs w:val="22"/>
        </w:rPr>
      </w:pPr>
      <w:r w:rsidRPr="002C1654">
        <w:rPr>
          <w:rStyle w:val="TtulodoLivro1"/>
          <w:rFonts w:ascii="Times New Roman" w:eastAsiaTheme="minorEastAsia" w:hAnsi="Times New Roman"/>
          <w:sz w:val="22"/>
          <w:szCs w:val="22"/>
        </w:rPr>
        <w:t xml:space="preserve"> </w:t>
      </w:r>
    </w:p>
    <w:p w14:paraId="2B6AFC10" w14:textId="77777777" w:rsidR="00A23487" w:rsidRDefault="00A23487" w:rsidP="00A23487">
      <w:pPr>
        <w:pStyle w:val="Legenda"/>
        <w:spacing w:after="0"/>
        <w:ind w:firstLine="851"/>
        <w:jc w:val="both"/>
        <w:rPr>
          <w:rFonts w:ascii="Times New Roman" w:hAnsi="Times New Roman" w:cs="Times New Roman"/>
          <w:b/>
          <w:i w:val="0"/>
          <w:color w:val="000000" w:themeColor="text1"/>
          <w:sz w:val="22"/>
          <w:szCs w:val="22"/>
        </w:rPr>
      </w:pPr>
    </w:p>
    <w:p w14:paraId="4254AD88" w14:textId="77777777" w:rsidR="00A23487" w:rsidRDefault="00A23487" w:rsidP="00A23487">
      <w:pPr>
        <w:pStyle w:val="Legenda"/>
        <w:spacing w:after="0"/>
        <w:ind w:firstLine="851"/>
        <w:jc w:val="both"/>
        <w:rPr>
          <w:rFonts w:ascii="Times New Roman" w:hAnsi="Times New Roman" w:cs="Times New Roman"/>
          <w:b/>
          <w:i w:val="0"/>
          <w:color w:val="000000" w:themeColor="text1"/>
          <w:sz w:val="22"/>
          <w:szCs w:val="22"/>
        </w:rPr>
      </w:pPr>
    </w:p>
    <w:p w14:paraId="45920B54" w14:textId="77777777" w:rsidR="004B4FC8" w:rsidRPr="004B4FC8" w:rsidRDefault="004B4FC8" w:rsidP="004B4FC8">
      <w:pPr>
        <w:rPr>
          <w:lang w:eastAsia="en-US"/>
        </w:rPr>
      </w:pPr>
    </w:p>
    <w:p w14:paraId="0EC975F4" w14:textId="77777777" w:rsidR="00A23487" w:rsidRPr="00172224" w:rsidRDefault="00A23487" w:rsidP="00172224">
      <w:pPr>
        <w:pStyle w:val="Legenda"/>
        <w:spacing w:after="0"/>
        <w:ind w:firstLine="851"/>
        <w:jc w:val="both"/>
        <w:rPr>
          <w:rFonts w:ascii="Times New Roman" w:hAnsi="Times New Roman" w:cs="Times New Roman"/>
          <w:i w:val="0"/>
          <w:color w:val="000000" w:themeColor="text1"/>
          <w:sz w:val="22"/>
          <w:szCs w:val="22"/>
        </w:rPr>
      </w:pPr>
      <w:r w:rsidRPr="00172224">
        <w:rPr>
          <w:rFonts w:ascii="Times New Roman" w:hAnsi="Times New Roman" w:cs="Times New Roman"/>
          <w:b/>
          <w:i w:val="0"/>
          <w:color w:val="000000" w:themeColor="text1"/>
          <w:sz w:val="22"/>
          <w:szCs w:val="22"/>
        </w:rPr>
        <w:t xml:space="preserve">Figura </w:t>
      </w:r>
      <w:r w:rsidR="00172224" w:rsidRPr="00172224">
        <w:rPr>
          <w:rFonts w:ascii="Times New Roman" w:hAnsi="Times New Roman" w:cs="Times New Roman"/>
          <w:b/>
          <w:i w:val="0"/>
          <w:color w:val="000000" w:themeColor="text1"/>
          <w:sz w:val="22"/>
          <w:szCs w:val="22"/>
        </w:rPr>
        <w:t>2</w:t>
      </w:r>
      <w:r w:rsidRPr="00172224">
        <w:rPr>
          <w:rFonts w:ascii="Times New Roman" w:hAnsi="Times New Roman" w:cs="Times New Roman"/>
          <w:b/>
          <w:i w:val="0"/>
          <w:color w:val="000000" w:themeColor="text1"/>
          <w:sz w:val="22"/>
          <w:szCs w:val="22"/>
        </w:rPr>
        <w:t xml:space="preserve">. </w:t>
      </w:r>
      <w:r w:rsidRPr="00172224">
        <w:rPr>
          <w:rFonts w:ascii="Times New Roman" w:hAnsi="Times New Roman" w:cs="Times New Roman"/>
          <w:i w:val="0"/>
          <w:color w:val="000000" w:themeColor="text1"/>
          <w:sz w:val="22"/>
          <w:szCs w:val="22"/>
        </w:rPr>
        <w:t>Diferença no númer</w:t>
      </w:r>
      <w:r w:rsidR="00172224" w:rsidRPr="00172224">
        <w:rPr>
          <w:rFonts w:ascii="Times New Roman" w:hAnsi="Times New Roman" w:cs="Times New Roman"/>
          <w:i w:val="0"/>
          <w:color w:val="000000" w:themeColor="text1"/>
          <w:sz w:val="22"/>
          <w:szCs w:val="22"/>
        </w:rPr>
        <w:t>o de alelos encontrados nos locais genéticos</w:t>
      </w:r>
      <w:r w:rsidRPr="00172224">
        <w:rPr>
          <w:rFonts w:ascii="Times New Roman" w:hAnsi="Times New Roman" w:cs="Times New Roman"/>
          <w:i w:val="0"/>
          <w:color w:val="000000" w:themeColor="text1"/>
          <w:sz w:val="22"/>
          <w:szCs w:val="22"/>
        </w:rPr>
        <w:t xml:space="preserve"> que apresentaram polimorfismos. </w:t>
      </w:r>
      <w:r w:rsidR="00172224" w:rsidRPr="00172224">
        <w:rPr>
          <w:rFonts w:ascii="Times New Roman" w:hAnsi="Times New Roman" w:cs="Times New Roman"/>
          <w:i w:val="0"/>
          <w:color w:val="000000" w:themeColor="text1"/>
          <w:sz w:val="22"/>
          <w:szCs w:val="22"/>
        </w:rPr>
        <w:t xml:space="preserve">Foram detectados um </w:t>
      </w:r>
      <w:r w:rsidRPr="00172224">
        <w:rPr>
          <w:rFonts w:ascii="Times New Roman" w:hAnsi="Times New Roman" w:cs="Times New Roman"/>
          <w:i w:val="0"/>
          <w:color w:val="000000" w:themeColor="text1"/>
          <w:sz w:val="22"/>
          <w:szCs w:val="22"/>
        </w:rPr>
        <w:t>total de 40 alelos pela eletroforese capilar e 61 alelos pelo SMP, uma diferença de 21 alelos a mais.</w:t>
      </w:r>
    </w:p>
    <w:p w14:paraId="61BEBC59" w14:textId="77777777" w:rsidR="00A23487" w:rsidRPr="00172224" w:rsidRDefault="00A23487" w:rsidP="00172224">
      <w:pPr>
        <w:spacing w:line="240" w:lineRule="auto"/>
        <w:rPr>
          <w:sz w:val="22"/>
          <w:szCs w:val="22"/>
        </w:rPr>
      </w:pPr>
    </w:p>
    <w:p w14:paraId="6D4C90B3" w14:textId="77777777" w:rsidR="00765D70" w:rsidRPr="00172224" w:rsidRDefault="00172224" w:rsidP="00172224">
      <w:pPr>
        <w:spacing w:line="240" w:lineRule="auto"/>
        <w:ind w:firstLine="851"/>
        <w:rPr>
          <w:sz w:val="22"/>
          <w:szCs w:val="22"/>
        </w:rPr>
      </w:pPr>
      <w:r w:rsidRPr="00172224">
        <w:rPr>
          <w:b/>
          <w:sz w:val="22"/>
          <w:szCs w:val="22"/>
        </w:rPr>
        <w:t>Tabela 1:</w:t>
      </w:r>
      <w:r w:rsidRPr="00172224">
        <w:rPr>
          <w:sz w:val="22"/>
          <w:szCs w:val="22"/>
        </w:rPr>
        <w:t xml:space="preserve"> </w:t>
      </w:r>
      <w:r>
        <w:rPr>
          <w:sz w:val="22"/>
          <w:szCs w:val="22"/>
        </w:rPr>
        <w:t>Parâmetros forenses calculados para os locais genéticos que apresentaram polimorfismos em suas regiões repetitivas</w:t>
      </w:r>
    </w:p>
    <w:p w14:paraId="2D581239" w14:textId="77777777" w:rsidR="00A23487" w:rsidRDefault="006B7A5E" w:rsidP="00172224">
      <w:pPr>
        <w:spacing w:line="240" w:lineRule="auto"/>
        <w:ind w:firstLine="851"/>
        <w:rPr>
          <w:color w:val="000000" w:themeColor="text1"/>
          <w:sz w:val="22"/>
          <w:szCs w:val="22"/>
        </w:rPr>
      </w:pPr>
      <w:bookmarkStart w:id="7" w:name="_Toc468887702"/>
      <w:r>
        <w:rPr>
          <w:noProof/>
          <w:color w:val="000000" w:themeColor="text1"/>
          <w:sz w:val="22"/>
          <w:szCs w:val="22"/>
        </w:rPr>
        <w:drawing>
          <wp:inline distT="0" distB="0" distL="0" distR="0" wp14:anchorId="0C2BC4B3" wp14:editId="0625D123">
            <wp:extent cx="4923155" cy="21158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3155" cy="2115820"/>
                    </a:xfrm>
                    <a:prstGeom prst="rect">
                      <a:avLst/>
                    </a:prstGeom>
                    <a:noFill/>
                    <a:ln>
                      <a:noFill/>
                    </a:ln>
                  </pic:spPr>
                </pic:pic>
              </a:graphicData>
            </a:graphic>
          </wp:inline>
        </w:drawing>
      </w:r>
    </w:p>
    <w:p w14:paraId="26BFDD77" w14:textId="77777777" w:rsidR="00172224" w:rsidRDefault="007F29E0" w:rsidP="00172224">
      <w:pPr>
        <w:spacing w:line="240" w:lineRule="auto"/>
        <w:ind w:firstLine="851"/>
        <w:rPr>
          <w:color w:val="000000" w:themeColor="text1"/>
          <w:sz w:val="22"/>
          <w:szCs w:val="22"/>
        </w:rPr>
      </w:pPr>
      <w:r w:rsidRPr="007F29E0">
        <w:rPr>
          <w:color w:val="000000" w:themeColor="text1"/>
          <w:sz w:val="22"/>
          <w:szCs w:val="22"/>
        </w:rPr>
        <w:t>*SP</w:t>
      </w:r>
      <w:r>
        <w:rPr>
          <w:color w:val="000000" w:themeColor="text1"/>
          <w:sz w:val="22"/>
          <w:szCs w:val="22"/>
        </w:rPr>
        <w:t xml:space="preserve"> </w:t>
      </w:r>
      <w:r w:rsidRPr="007F29E0">
        <w:rPr>
          <w:color w:val="000000" w:themeColor="text1"/>
          <w:sz w:val="22"/>
          <w:szCs w:val="22"/>
        </w:rPr>
        <w:t>=</w:t>
      </w:r>
      <w:r>
        <w:rPr>
          <w:color w:val="000000" w:themeColor="text1"/>
          <w:sz w:val="22"/>
          <w:szCs w:val="22"/>
        </w:rPr>
        <w:t xml:space="preserve"> </w:t>
      </w:r>
      <w:r w:rsidRPr="007F29E0">
        <w:rPr>
          <w:color w:val="000000" w:themeColor="text1"/>
          <w:sz w:val="22"/>
          <w:szCs w:val="22"/>
        </w:rPr>
        <w:t>sem polimorfismo; CP</w:t>
      </w:r>
      <w:r>
        <w:rPr>
          <w:color w:val="000000" w:themeColor="text1"/>
          <w:sz w:val="22"/>
          <w:szCs w:val="22"/>
        </w:rPr>
        <w:t xml:space="preserve"> </w:t>
      </w:r>
      <w:r w:rsidRPr="007F29E0">
        <w:rPr>
          <w:color w:val="000000" w:themeColor="text1"/>
          <w:sz w:val="22"/>
          <w:szCs w:val="22"/>
        </w:rPr>
        <w:t>=</w:t>
      </w:r>
      <w:r>
        <w:rPr>
          <w:color w:val="000000" w:themeColor="text1"/>
          <w:sz w:val="22"/>
          <w:szCs w:val="22"/>
        </w:rPr>
        <w:t xml:space="preserve"> </w:t>
      </w:r>
      <w:r w:rsidRPr="007F29E0">
        <w:rPr>
          <w:color w:val="000000" w:themeColor="text1"/>
          <w:sz w:val="22"/>
          <w:szCs w:val="22"/>
        </w:rPr>
        <w:t>com polimorfismo; Ht</w:t>
      </w:r>
      <w:r>
        <w:rPr>
          <w:color w:val="000000" w:themeColor="text1"/>
          <w:sz w:val="22"/>
          <w:szCs w:val="22"/>
        </w:rPr>
        <w:t xml:space="preserve"> </w:t>
      </w:r>
      <w:r w:rsidRPr="007F29E0">
        <w:rPr>
          <w:color w:val="000000" w:themeColor="text1"/>
          <w:sz w:val="22"/>
          <w:szCs w:val="22"/>
        </w:rPr>
        <w:t>= heterozigose; Ho</w:t>
      </w:r>
      <w:r>
        <w:rPr>
          <w:color w:val="000000" w:themeColor="text1"/>
          <w:sz w:val="22"/>
          <w:szCs w:val="22"/>
        </w:rPr>
        <w:t xml:space="preserve"> </w:t>
      </w:r>
      <w:r w:rsidRPr="007F29E0">
        <w:rPr>
          <w:color w:val="000000" w:themeColor="text1"/>
          <w:sz w:val="22"/>
          <w:szCs w:val="22"/>
        </w:rPr>
        <w:t>= homozigose; MP</w:t>
      </w:r>
      <w:r>
        <w:rPr>
          <w:color w:val="000000" w:themeColor="text1"/>
          <w:sz w:val="22"/>
          <w:szCs w:val="22"/>
        </w:rPr>
        <w:t xml:space="preserve"> </w:t>
      </w:r>
      <w:r w:rsidRPr="007F29E0">
        <w:rPr>
          <w:color w:val="000000" w:themeColor="text1"/>
          <w:sz w:val="22"/>
          <w:szCs w:val="22"/>
        </w:rPr>
        <w:t xml:space="preserve">= </w:t>
      </w:r>
      <w:r w:rsidRPr="007F29E0">
        <w:rPr>
          <w:i/>
          <w:color w:val="000000" w:themeColor="text1"/>
          <w:sz w:val="22"/>
          <w:szCs w:val="22"/>
        </w:rPr>
        <w:t>matching probability</w:t>
      </w:r>
      <w:r w:rsidRPr="007F29E0">
        <w:rPr>
          <w:color w:val="000000" w:themeColor="text1"/>
          <w:sz w:val="22"/>
          <w:szCs w:val="22"/>
        </w:rPr>
        <w:t>; PD</w:t>
      </w:r>
      <w:r>
        <w:rPr>
          <w:color w:val="000000" w:themeColor="text1"/>
          <w:sz w:val="22"/>
          <w:szCs w:val="22"/>
        </w:rPr>
        <w:t xml:space="preserve"> </w:t>
      </w:r>
      <w:r w:rsidRPr="007F29E0">
        <w:rPr>
          <w:color w:val="000000" w:themeColor="text1"/>
          <w:sz w:val="22"/>
          <w:szCs w:val="22"/>
        </w:rPr>
        <w:t>= poder de exclusão</w:t>
      </w:r>
      <w:r>
        <w:rPr>
          <w:color w:val="000000" w:themeColor="text1"/>
          <w:sz w:val="22"/>
          <w:szCs w:val="22"/>
        </w:rPr>
        <w:t>;</w:t>
      </w:r>
      <w:r w:rsidRPr="007F29E0">
        <w:rPr>
          <w:color w:val="000000" w:themeColor="text1"/>
          <w:sz w:val="22"/>
          <w:szCs w:val="22"/>
        </w:rPr>
        <w:t xml:space="preserve"> PIC</w:t>
      </w:r>
      <w:r>
        <w:rPr>
          <w:color w:val="000000" w:themeColor="text1"/>
          <w:sz w:val="22"/>
          <w:szCs w:val="22"/>
        </w:rPr>
        <w:t xml:space="preserve"> </w:t>
      </w:r>
      <w:r w:rsidRPr="007F29E0">
        <w:rPr>
          <w:color w:val="000000" w:themeColor="text1"/>
          <w:sz w:val="22"/>
          <w:szCs w:val="22"/>
        </w:rPr>
        <w:t xml:space="preserve">= conteúdo informativo de polimorfismo; </w:t>
      </w:r>
      <w:r>
        <w:rPr>
          <w:color w:val="000000" w:themeColor="text1"/>
          <w:sz w:val="22"/>
          <w:szCs w:val="22"/>
        </w:rPr>
        <w:t>PE = poder de exclusão</w:t>
      </w:r>
    </w:p>
    <w:p w14:paraId="299FE005" w14:textId="77777777" w:rsidR="00172224" w:rsidRDefault="00172224" w:rsidP="00172224">
      <w:pPr>
        <w:spacing w:line="240" w:lineRule="auto"/>
        <w:ind w:firstLine="851"/>
        <w:rPr>
          <w:color w:val="000000" w:themeColor="text1"/>
          <w:sz w:val="22"/>
          <w:szCs w:val="22"/>
        </w:rPr>
      </w:pPr>
    </w:p>
    <w:p w14:paraId="7561E5B9" w14:textId="77777777" w:rsidR="000C4F36" w:rsidRDefault="00A23487" w:rsidP="000C4F36">
      <w:pPr>
        <w:spacing w:line="240" w:lineRule="auto"/>
        <w:ind w:firstLine="851"/>
        <w:rPr>
          <w:sz w:val="22"/>
          <w:szCs w:val="22"/>
        </w:rPr>
      </w:pPr>
      <w:r w:rsidRPr="00172224">
        <w:rPr>
          <w:b/>
          <w:sz w:val="22"/>
          <w:szCs w:val="22"/>
        </w:rPr>
        <w:t>5. DISCUSSÃO</w:t>
      </w:r>
      <w:bookmarkEnd w:id="7"/>
      <w:r w:rsidR="000C4F36" w:rsidRPr="000C4F36">
        <w:rPr>
          <w:sz w:val="22"/>
          <w:szCs w:val="22"/>
        </w:rPr>
        <w:t xml:space="preserve"> </w:t>
      </w:r>
    </w:p>
    <w:p w14:paraId="47B6D61B" w14:textId="77777777" w:rsidR="000C4F36" w:rsidRDefault="000C4F36" w:rsidP="000C4F36">
      <w:pPr>
        <w:spacing w:line="240" w:lineRule="auto"/>
        <w:ind w:firstLine="851"/>
        <w:rPr>
          <w:sz w:val="22"/>
          <w:szCs w:val="22"/>
        </w:rPr>
      </w:pPr>
      <w:r w:rsidRPr="002C1654">
        <w:rPr>
          <w:sz w:val="22"/>
          <w:szCs w:val="22"/>
        </w:rPr>
        <w:t xml:space="preserve">Se pensarmos em como as amostras forenses são limitantes, isto é, em sua maioria degradadas, as plataformas de sequenciamento multiparalelo (SMP) em comparação com as técnicas convencionais, </w:t>
      </w:r>
      <w:r w:rsidRPr="002C1654">
        <w:rPr>
          <w:sz w:val="22"/>
          <w:szCs w:val="22"/>
        </w:rPr>
        <w:lastRenderedPageBreak/>
        <w:t xml:space="preserve">permitem a análise simultânea de várias regiões genéticas, gerando um imenso volume de dados, partindo de uma concentração inicial de DNA bem menor que as técnicas convencionais em um intervalo de tempo menor. No caso das genotipagens por STRs autossômicos, é possível verificar inclusive a presença de polimorfismos de nucleotídeo único presentes nas regiões repetitivas </w:t>
      </w:r>
      <w:r>
        <w:rPr>
          <w:sz w:val="22"/>
          <w:szCs w:val="22"/>
        </w:rPr>
        <w:t xml:space="preserve">destes marcadores. </w:t>
      </w:r>
      <w:r w:rsidRPr="00172224">
        <w:rPr>
          <w:sz w:val="22"/>
          <w:szCs w:val="22"/>
        </w:rPr>
        <w:t xml:space="preserve">O primeiro sucesso de análise de STR através do SMP, foi em um trabalho publicado recentemente (BOTTINO </w:t>
      </w:r>
      <w:r w:rsidRPr="00172224">
        <w:rPr>
          <w:i/>
          <w:sz w:val="22"/>
          <w:szCs w:val="22"/>
        </w:rPr>
        <w:t>et al</w:t>
      </w:r>
      <w:r w:rsidRPr="00172224">
        <w:rPr>
          <w:sz w:val="22"/>
          <w:szCs w:val="22"/>
        </w:rPr>
        <w:t xml:space="preserve">, 2015) </w:t>
      </w:r>
      <w:r>
        <w:rPr>
          <w:sz w:val="22"/>
          <w:szCs w:val="22"/>
        </w:rPr>
        <w:t xml:space="preserve">no qual foi possível melhorar a </w:t>
      </w:r>
      <w:proofErr w:type="spellStart"/>
      <w:r>
        <w:rPr>
          <w:sz w:val="22"/>
          <w:szCs w:val="22"/>
        </w:rPr>
        <w:t>deconvolução</w:t>
      </w:r>
      <w:proofErr w:type="spellEnd"/>
      <w:r>
        <w:rPr>
          <w:sz w:val="22"/>
          <w:szCs w:val="22"/>
        </w:rPr>
        <w:t xml:space="preserve"> de uma mistura presente em um laudo de crime de violência sexual</w:t>
      </w:r>
      <w:r w:rsidRPr="00172224">
        <w:rPr>
          <w:sz w:val="22"/>
          <w:szCs w:val="22"/>
        </w:rPr>
        <w:t>.</w:t>
      </w:r>
    </w:p>
    <w:p w14:paraId="4C4092DD" w14:textId="77777777" w:rsidR="000C4F36" w:rsidRDefault="000C4F36" w:rsidP="000C4F36">
      <w:pPr>
        <w:spacing w:line="240" w:lineRule="auto"/>
        <w:ind w:firstLine="851"/>
        <w:rPr>
          <w:sz w:val="22"/>
          <w:szCs w:val="20"/>
        </w:rPr>
      </w:pPr>
      <w:r w:rsidRPr="002C1654">
        <w:rPr>
          <w:sz w:val="22"/>
          <w:szCs w:val="22"/>
        </w:rPr>
        <w:t xml:space="preserve">Com este estudo pode-se compreender como estes marcadores podem aumentar a capacidade discriminatória nos exames periciais, auxiliando na rotina pericial do Instituto de Pesquisa e Perícias em Genética Forense da Polícia Civil do Estado do Rio de Janeiro, além de </w:t>
      </w:r>
      <w:r w:rsidRPr="002C1654">
        <w:rPr>
          <w:sz w:val="22"/>
          <w:szCs w:val="20"/>
        </w:rPr>
        <w:t>servir como ferramenta comparativa para estudos posteriores.</w:t>
      </w:r>
      <w:r w:rsidRPr="000C4F36">
        <w:rPr>
          <w:sz w:val="22"/>
          <w:szCs w:val="22"/>
        </w:rPr>
        <w:t xml:space="preserve"> </w:t>
      </w:r>
    </w:p>
    <w:p w14:paraId="644F05F2" w14:textId="77777777" w:rsidR="00A23487" w:rsidRPr="002C1654" w:rsidRDefault="00A23487" w:rsidP="00481F86">
      <w:pPr>
        <w:pStyle w:val="Ttulo1"/>
        <w:spacing w:before="0" w:after="0" w:line="240" w:lineRule="auto"/>
        <w:ind w:firstLine="851"/>
        <w:rPr>
          <w:rFonts w:ascii="Times New Roman" w:hAnsi="Times New Roman" w:cs="Times New Roman"/>
          <w:sz w:val="22"/>
          <w:szCs w:val="22"/>
        </w:rPr>
      </w:pPr>
      <w:bookmarkStart w:id="8" w:name="_Toc468887703"/>
      <w:r w:rsidRPr="002C1654">
        <w:rPr>
          <w:rFonts w:ascii="Times New Roman" w:hAnsi="Times New Roman" w:cs="Times New Roman"/>
          <w:sz w:val="22"/>
          <w:szCs w:val="22"/>
        </w:rPr>
        <w:t>6. CONCLUSÃO</w:t>
      </w:r>
      <w:bookmarkEnd w:id="8"/>
    </w:p>
    <w:p w14:paraId="46A3F0B3" w14:textId="77777777" w:rsidR="000C4F36" w:rsidRDefault="000C4F36" w:rsidP="000C4F36">
      <w:pPr>
        <w:spacing w:line="240" w:lineRule="auto"/>
        <w:ind w:firstLine="851"/>
        <w:rPr>
          <w:sz w:val="22"/>
          <w:szCs w:val="22"/>
        </w:rPr>
      </w:pPr>
      <w:r w:rsidRPr="00172224">
        <w:rPr>
          <w:sz w:val="22"/>
          <w:szCs w:val="22"/>
        </w:rPr>
        <w:t xml:space="preserve">O SMP demonstrou-se em concordância com a eletroforese capilar de todas as amostras, além de detectar os fragmentos gerados, a vantagem é que o SMP permite a análise das sequências desses fragmentos, melhorando dessa forma os parâmetros forenses. </w:t>
      </w:r>
    </w:p>
    <w:p w14:paraId="1A55F06D" w14:textId="77777777" w:rsidR="000C4F36" w:rsidRPr="002C1654" w:rsidRDefault="000C4F36" w:rsidP="000C4F36">
      <w:pPr>
        <w:spacing w:line="240" w:lineRule="auto"/>
        <w:ind w:firstLine="851"/>
        <w:rPr>
          <w:sz w:val="22"/>
          <w:szCs w:val="22"/>
        </w:rPr>
      </w:pPr>
      <w:r>
        <w:rPr>
          <w:sz w:val="22"/>
          <w:szCs w:val="22"/>
        </w:rPr>
        <w:t>Outro mérito deste trabalho foi demonstrar quantitativamente, através de um pequeno estudo populacional, o ganho no poder de discriminação de alguns locais genéticos, baseado nas alterações de seus parâmetros forenses.</w:t>
      </w:r>
    </w:p>
    <w:p w14:paraId="6DF54090" w14:textId="77777777" w:rsidR="00A23487" w:rsidRPr="002C1654" w:rsidRDefault="00A23487" w:rsidP="00481F86">
      <w:pPr>
        <w:spacing w:line="240" w:lineRule="auto"/>
        <w:ind w:firstLine="851"/>
        <w:rPr>
          <w:sz w:val="22"/>
          <w:szCs w:val="20"/>
        </w:rPr>
      </w:pPr>
    </w:p>
    <w:p w14:paraId="74BAD2A4" w14:textId="77777777" w:rsidR="00A23487" w:rsidRPr="002C1654" w:rsidRDefault="00A23487" w:rsidP="00481F86">
      <w:pPr>
        <w:pStyle w:val="Ttulo1"/>
        <w:spacing w:before="0" w:after="0" w:line="240" w:lineRule="auto"/>
        <w:rPr>
          <w:rFonts w:ascii="Times New Roman" w:hAnsi="Times New Roman" w:cs="Times New Roman"/>
          <w:sz w:val="20"/>
          <w:szCs w:val="20"/>
        </w:rPr>
      </w:pPr>
      <w:bookmarkStart w:id="9" w:name="_Toc468887704"/>
      <w:r w:rsidRPr="002C1654">
        <w:rPr>
          <w:rFonts w:ascii="Times New Roman" w:hAnsi="Times New Roman" w:cs="Times New Roman"/>
          <w:sz w:val="20"/>
          <w:szCs w:val="20"/>
        </w:rPr>
        <w:t>REFERÊNCIAS BIBLIOGRÁFICAS</w:t>
      </w:r>
      <w:bookmarkEnd w:id="9"/>
    </w:p>
    <w:p w14:paraId="3E2FC102" w14:textId="77777777" w:rsidR="00A23487" w:rsidRPr="00A23487" w:rsidRDefault="00A23487" w:rsidP="00A23487">
      <w:pPr>
        <w:spacing w:line="240" w:lineRule="auto"/>
        <w:rPr>
          <w:sz w:val="20"/>
          <w:szCs w:val="20"/>
          <w:lang w:val="en-US"/>
        </w:rPr>
      </w:pPr>
      <w:r w:rsidRPr="00A23487">
        <w:rPr>
          <w:sz w:val="20"/>
          <w:szCs w:val="20"/>
        </w:rPr>
        <w:t>1.</w:t>
      </w:r>
      <w:r>
        <w:rPr>
          <w:sz w:val="20"/>
          <w:szCs w:val="20"/>
        </w:rPr>
        <w:t xml:space="preserve"> </w:t>
      </w:r>
      <w:r w:rsidRPr="00A23487">
        <w:rPr>
          <w:sz w:val="20"/>
          <w:szCs w:val="20"/>
        </w:rPr>
        <w:t xml:space="preserve">BUTLER JM. </w:t>
      </w:r>
      <w:proofErr w:type="spellStart"/>
      <w:r w:rsidRPr="00A23487">
        <w:rPr>
          <w:b/>
          <w:sz w:val="20"/>
          <w:szCs w:val="20"/>
        </w:rPr>
        <w:t>Forensic</w:t>
      </w:r>
      <w:proofErr w:type="spellEnd"/>
      <w:r w:rsidRPr="00A23487">
        <w:rPr>
          <w:b/>
          <w:sz w:val="20"/>
          <w:szCs w:val="20"/>
        </w:rPr>
        <w:t xml:space="preserve"> DNA </w:t>
      </w:r>
      <w:proofErr w:type="spellStart"/>
      <w:r w:rsidRPr="00A23487">
        <w:rPr>
          <w:b/>
          <w:sz w:val="20"/>
          <w:szCs w:val="20"/>
        </w:rPr>
        <w:t>Typing</w:t>
      </w:r>
      <w:proofErr w:type="spellEnd"/>
      <w:r w:rsidRPr="00A23487">
        <w:rPr>
          <w:b/>
          <w:sz w:val="20"/>
          <w:szCs w:val="20"/>
        </w:rPr>
        <w:t>.</w:t>
      </w:r>
      <w:r w:rsidRPr="00A23487">
        <w:rPr>
          <w:sz w:val="20"/>
          <w:szCs w:val="20"/>
        </w:rPr>
        <w:t xml:space="preserve"> </w:t>
      </w:r>
      <w:r w:rsidRPr="00A23487">
        <w:rPr>
          <w:sz w:val="20"/>
          <w:szCs w:val="20"/>
          <w:lang w:val="en-US"/>
        </w:rPr>
        <w:t>2nd ed. Burlington: Elsev</w:t>
      </w:r>
      <w:r w:rsidR="007632B2">
        <w:rPr>
          <w:sz w:val="20"/>
          <w:szCs w:val="20"/>
          <w:lang w:val="en-US"/>
        </w:rPr>
        <w:t>ier Academic Press</w:t>
      </w:r>
      <w:r w:rsidRPr="00A23487">
        <w:rPr>
          <w:sz w:val="20"/>
          <w:szCs w:val="20"/>
          <w:lang w:val="en-US"/>
        </w:rPr>
        <w:t>, 2005</w:t>
      </w:r>
      <w:r w:rsidR="007632B2">
        <w:rPr>
          <w:sz w:val="20"/>
          <w:szCs w:val="20"/>
          <w:lang w:val="en-US"/>
        </w:rPr>
        <w:t>, 600p.</w:t>
      </w:r>
    </w:p>
    <w:p w14:paraId="490C4510" w14:textId="77777777" w:rsidR="00A23487" w:rsidRPr="002C1654" w:rsidRDefault="00A23487" w:rsidP="00A23487">
      <w:pPr>
        <w:spacing w:line="240" w:lineRule="auto"/>
        <w:rPr>
          <w:sz w:val="20"/>
          <w:szCs w:val="20"/>
          <w:lang w:val="en-US"/>
        </w:rPr>
      </w:pPr>
      <w:r>
        <w:rPr>
          <w:sz w:val="20"/>
          <w:szCs w:val="20"/>
        </w:rPr>
        <w:t xml:space="preserve">2. </w:t>
      </w:r>
      <w:r w:rsidRPr="002C1654">
        <w:rPr>
          <w:sz w:val="20"/>
          <w:szCs w:val="20"/>
        </w:rPr>
        <w:t xml:space="preserve">BOTTINO CG; CHANG CW; WOOTTON S; RAJAGOPALAN N; LANGIT R; LAGACÉ RE; SILVA R; MOURA-NETO RS. </w:t>
      </w:r>
      <w:r w:rsidRPr="002C1654">
        <w:rPr>
          <w:b/>
          <w:sz w:val="20"/>
          <w:szCs w:val="20"/>
          <w:lang w:val="en-US"/>
        </w:rPr>
        <w:t>STR genotyping using ion torrent PGM and STR 24-plex system: Performance and data interpretation.</w:t>
      </w:r>
      <w:r w:rsidRPr="002C1654">
        <w:rPr>
          <w:sz w:val="20"/>
          <w:szCs w:val="20"/>
          <w:lang w:val="en-US"/>
        </w:rPr>
        <w:t xml:space="preserve"> </w:t>
      </w:r>
      <w:r w:rsidRPr="007632B2">
        <w:rPr>
          <w:i/>
          <w:sz w:val="20"/>
          <w:szCs w:val="20"/>
          <w:lang w:val="en-US"/>
        </w:rPr>
        <w:t xml:space="preserve">For </w:t>
      </w:r>
      <w:proofErr w:type="spellStart"/>
      <w:r w:rsidRPr="007632B2">
        <w:rPr>
          <w:i/>
          <w:sz w:val="20"/>
          <w:szCs w:val="20"/>
          <w:lang w:val="en-US"/>
        </w:rPr>
        <w:t>Sci</w:t>
      </w:r>
      <w:proofErr w:type="spellEnd"/>
      <w:r w:rsidRPr="007632B2">
        <w:rPr>
          <w:i/>
          <w:sz w:val="20"/>
          <w:szCs w:val="20"/>
          <w:lang w:val="en-US"/>
        </w:rPr>
        <w:t xml:space="preserve"> </w:t>
      </w:r>
      <w:proofErr w:type="spellStart"/>
      <w:r w:rsidRPr="007632B2">
        <w:rPr>
          <w:i/>
          <w:sz w:val="20"/>
          <w:szCs w:val="20"/>
          <w:lang w:val="en-US"/>
        </w:rPr>
        <w:t>Int</w:t>
      </w:r>
      <w:proofErr w:type="spellEnd"/>
      <w:r w:rsidRPr="007632B2">
        <w:rPr>
          <w:i/>
          <w:sz w:val="20"/>
          <w:szCs w:val="20"/>
          <w:lang w:val="en-US"/>
        </w:rPr>
        <w:t xml:space="preserve">: Gen </w:t>
      </w:r>
      <w:proofErr w:type="spellStart"/>
      <w:r w:rsidRPr="007632B2">
        <w:rPr>
          <w:i/>
          <w:sz w:val="20"/>
          <w:szCs w:val="20"/>
          <w:lang w:val="en-US"/>
        </w:rPr>
        <w:t>Suppl</w:t>
      </w:r>
      <w:proofErr w:type="spellEnd"/>
      <w:r w:rsidRPr="007632B2">
        <w:rPr>
          <w:i/>
          <w:sz w:val="20"/>
          <w:szCs w:val="20"/>
          <w:lang w:val="en-US"/>
        </w:rPr>
        <w:t xml:space="preserve"> S</w:t>
      </w:r>
      <w:r w:rsidRPr="002C1654">
        <w:rPr>
          <w:sz w:val="20"/>
          <w:szCs w:val="20"/>
          <w:lang w:val="en-US"/>
        </w:rPr>
        <w:t xml:space="preserve">, </w:t>
      </w:r>
      <w:r w:rsidR="00D3610A">
        <w:rPr>
          <w:sz w:val="20"/>
          <w:szCs w:val="20"/>
          <w:lang w:val="en-US"/>
        </w:rPr>
        <w:t>v. 5</w:t>
      </w:r>
      <w:r w:rsidR="007632B2">
        <w:rPr>
          <w:sz w:val="20"/>
          <w:szCs w:val="20"/>
          <w:lang w:val="en-US"/>
        </w:rPr>
        <w:t xml:space="preserve">, </w:t>
      </w:r>
      <w:r w:rsidR="00D3610A" w:rsidRPr="00D3610A">
        <w:rPr>
          <w:sz w:val="20"/>
          <w:szCs w:val="20"/>
        </w:rPr>
        <w:t>e325–e326</w:t>
      </w:r>
      <w:r w:rsidR="007632B2">
        <w:rPr>
          <w:sz w:val="20"/>
          <w:szCs w:val="20"/>
          <w:lang w:val="en-US"/>
        </w:rPr>
        <w:t xml:space="preserve">, </w:t>
      </w:r>
      <w:r w:rsidRPr="002C1654">
        <w:rPr>
          <w:sz w:val="20"/>
          <w:szCs w:val="20"/>
          <w:lang w:val="en-US"/>
        </w:rPr>
        <w:t>2015.</w:t>
      </w:r>
    </w:p>
    <w:p w14:paraId="76C260C2" w14:textId="77777777" w:rsidR="001D2633" w:rsidRPr="007632B2" w:rsidRDefault="00A23487" w:rsidP="00BD2918">
      <w:pPr>
        <w:spacing w:line="240" w:lineRule="auto"/>
        <w:rPr>
          <w:sz w:val="20"/>
          <w:szCs w:val="20"/>
          <w:lang w:val="en-US"/>
        </w:rPr>
      </w:pPr>
      <w:r>
        <w:rPr>
          <w:sz w:val="20"/>
          <w:szCs w:val="20"/>
          <w:lang w:val="en-US"/>
        </w:rPr>
        <w:t xml:space="preserve">3. </w:t>
      </w:r>
      <w:r w:rsidRPr="002C1654">
        <w:rPr>
          <w:sz w:val="20"/>
          <w:szCs w:val="20"/>
          <w:lang w:val="en-US"/>
        </w:rPr>
        <w:t xml:space="preserve">BORSTING, C &amp; MORLING, N. </w:t>
      </w:r>
      <w:r w:rsidRPr="002C1654">
        <w:rPr>
          <w:b/>
          <w:sz w:val="20"/>
          <w:szCs w:val="20"/>
          <w:lang w:val="en-US"/>
        </w:rPr>
        <w:t xml:space="preserve">Next generation sequencing and its applications in forensic. </w:t>
      </w:r>
      <w:r w:rsidRPr="007632B2">
        <w:rPr>
          <w:i/>
          <w:sz w:val="20"/>
          <w:szCs w:val="20"/>
          <w:lang w:val="en-US"/>
        </w:rPr>
        <w:t xml:space="preserve">For </w:t>
      </w:r>
      <w:proofErr w:type="spellStart"/>
      <w:r w:rsidRPr="007632B2">
        <w:rPr>
          <w:i/>
          <w:sz w:val="20"/>
          <w:szCs w:val="20"/>
          <w:lang w:val="en-US"/>
        </w:rPr>
        <w:t>Sci</w:t>
      </w:r>
      <w:proofErr w:type="spellEnd"/>
      <w:r w:rsidRPr="007632B2">
        <w:rPr>
          <w:i/>
          <w:sz w:val="20"/>
          <w:szCs w:val="20"/>
          <w:lang w:val="en-US"/>
        </w:rPr>
        <w:t xml:space="preserve"> </w:t>
      </w:r>
      <w:proofErr w:type="spellStart"/>
      <w:r w:rsidRPr="007632B2">
        <w:rPr>
          <w:i/>
          <w:sz w:val="20"/>
          <w:szCs w:val="20"/>
          <w:lang w:val="en-US"/>
        </w:rPr>
        <w:t>Int</w:t>
      </w:r>
      <w:proofErr w:type="spellEnd"/>
      <w:r w:rsidRPr="007632B2">
        <w:rPr>
          <w:i/>
          <w:sz w:val="20"/>
          <w:szCs w:val="20"/>
          <w:lang w:val="en-US"/>
        </w:rPr>
        <w:t>: Gen</w:t>
      </w:r>
      <w:r w:rsidRPr="002C1654">
        <w:rPr>
          <w:sz w:val="20"/>
          <w:szCs w:val="20"/>
          <w:lang w:val="en-US"/>
        </w:rPr>
        <w:t>, v. 18, p. 78-89, 2015</w:t>
      </w:r>
      <w:r w:rsidR="007632B2">
        <w:rPr>
          <w:sz w:val="20"/>
          <w:szCs w:val="20"/>
          <w:lang w:val="en-US"/>
        </w:rPr>
        <w:t>.</w:t>
      </w:r>
    </w:p>
    <w:sectPr w:rsidR="001D2633" w:rsidRPr="007632B2" w:rsidSect="004B4FC8">
      <w:headerReference w:type="default" r:id="rId12"/>
      <w:footerReference w:type="default" r:id="rId13"/>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22F9" w14:textId="77777777" w:rsidR="00A63BEF" w:rsidRDefault="00A63BEF" w:rsidP="003752F7">
      <w:pPr>
        <w:spacing w:line="240" w:lineRule="auto"/>
      </w:pPr>
      <w:r>
        <w:separator/>
      </w:r>
    </w:p>
  </w:endnote>
  <w:endnote w:type="continuationSeparator" w:id="0">
    <w:p w14:paraId="48D83D25" w14:textId="77777777" w:rsidR="00A63BEF" w:rsidRDefault="00A63BEF"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14:paraId="129CF2F1" w14:textId="77777777"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6B5C41">
          <w:rPr>
            <w:noProof/>
            <w:sz w:val="20"/>
            <w:szCs w:val="20"/>
          </w:rPr>
          <w:t>1</w:t>
        </w:r>
        <w:r w:rsidRPr="003752F7">
          <w:rPr>
            <w:sz w:val="20"/>
            <w:szCs w:val="20"/>
          </w:rPr>
          <w:fldChar w:fldCharType="end"/>
        </w:r>
      </w:p>
    </w:sdtContent>
  </w:sdt>
  <w:p w14:paraId="2A20C0F3" w14:textId="77777777"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A97CD" w14:textId="77777777" w:rsidR="00A63BEF" w:rsidRDefault="00A63BEF" w:rsidP="003752F7">
      <w:pPr>
        <w:spacing w:line="240" w:lineRule="auto"/>
      </w:pPr>
      <w:r>
        <w:separator/>
      </w:r>
    </w:p>
  </w:footnote>
  <w:footnote w:type="continuationSeparator" w:id="0">
    <w:p w14:paraId="73B02347" w14:textId="77777777" w:rsidR="00A63BEF" w:rsidRDefault="00A63BEF"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A944" w14:textId="77777777"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14:paraId="6A1B7289" w14:textId="77777777"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14:paraId="3A05F3FF" w14:textId="77777777"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14:paraId="116E4BA4" w14:textId="77777777"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8CB"/>
    <w:multiLevelType w:val="hybridMultilevel"/>
    <w:tmpl w:val="B5E6D9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C4F36"/>
    <w:rsid w:val="000C67DF"/>
    <w:rsid w:val="000C6C07"/>
    <w:rsid w:val="000D64F7"/>
    <w:rsid w:val="000E490F"/>
    <w:rsid w:val="000E62DA"/>
    <w:rsid w:val="001052AA"/>
    <w:rsid w:val="00115C7E"/>
    <w:rsid w:val="0012394C"/>
    <w:rsid w:val="00123D94"/>
    <w:rsid w:val="00130D12"/>
    <w:rsid w:val="001451DD"/>
    <w:rsid w:val="0015364A"/>
    <w:rsid w:val="00154C07"/>
    <w:rsid w:val="00167EE0"/>
    <w:rsid w:val="00172224"/>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B69AF"/>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3BD3"/>
    <w:rsid w:val="00474F95"/>
    <w:rsid w:val="00481F86"/>
    <w:rsid w:val="00486A9E"/>
    <w:rsid w:val="00491EA9"/>
    <w:rsid w:val="004A1F23"/>
    <w:rsid w:val="004A7A00"/>
    <w:rsid w:val="004B1A67"/>
    <w:rsid w:val="004B33AF"/>
    <w:rsid w:val="004B4FC8"/>
    <w:rsid w:val="004D63F0"/>
    <w:rsid w:val="004D6CE8"/>
    <w:rsid w:val="004D7262"/>
    <w:rsid w:val="004E1122"/>
    <w:rsid w:val="004F21E1"/>
    <w:rsid w:val="00506F9A"/>
    <w:rsid w:val="0051281F"/>
    <w:rsid w:val="00514489"/>
    <w:rsid w:val="00516CB0"/>
    <w:rsid w:val="00521B05"/>
    <w:rsid w:val="00526D61"/>
    <w:rsid w:val="00530FDE"/>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0E75"/>
    <w:rsid w:val="005B6216"/>
    <w:rsid w:val="005D3B1F"/>
    <w:rsid w:val="005E0339"/>
    <w:rsid w:val="005E2BC5"/>
    <w:rsid w:val="005E75EF"/>
    <w:rsid w:val="006028E9"/>
    <w:rsid w:val="006044B2"/>
    <w:rsid w:val="00606784"/>
    <w:rsid w:val="006347BF"/>
    <w:rsid w:val="006366FD"/>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B5C41"/>
    <w:rsid w:val="006B7A5E"/>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632B2"/>
    <w:rsid w:val="00765D70"/>
    <w:rsid w:val="0078302E"/>
    <w:rsid w:val="00784AD1"/>
    <w:rsid w:val="0079623C"/>
    <w:rsid w:val="007A109C"/>
    <w:rsid w:val="007C522E"/>
    <w:rsid w:val="007D0DBB"/>
    <w:rsid w:val="007E2E1A"/>
    <w:rsid w:val="007F29E0"/>
    <w:rsid w:val="0080108D"/>
    <w:rsid w:val="008039FA"/>
    <w:rsid w:val="00804B34"/>
    <w:rsid w:val="00811620"/>
    <w:rsid w:val="00813F18"/>
    <w:rsid w:val="00817160"/>
    <w:rsid w:val="00821CAD"/>
    <w:rsid w:val="00824730"/>
    <w:rsid w:val="00832F16"/>
    <w:rsid w:val="008572CF"/>
    <w:rsid w:val="00857E91"/>
    <w:rsid w:val="00860EDC"/>
    <w:rsid w:val="008875B6"/>
    <w:rsid w:val="008949B2"/>
    <w:rsid w:val="008B5B05"/>
    <w:rsid w:val="008D279E"/>
    <w:rsid w:val="008D7AB4"/>
    <w:rsid w:val="008E2991"/>
    <w:rsid w:val="00910D22"/>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23487"/>
    <w:rsid w:val="00A30721"/>
    <w:rsid w:val="00A37102"/>
    <w:rsid w:val="00A40594"/>
    <w:rsid w:val="00A51761"/>
    <w:rsid w:val="00A5398B"/>
    <w:rsid w:val="00A63BEF"/>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3610A"/>
    <w:rsid w:val="00D55EBC"/>
    <w:rsid w:val="00D6094C"/>
    <w:rsid w:val="00D66DB9"/>
    <w:rsid w:val="00D7559F"/>
    <w:rsid w:val="00D83186"/>
    <w:rsid w:val="00D85888"/>
    <w:rsid w:val="00DB64DF"/>
    <w:rsid w:val="00DC0E24"/>
    <w:rsid w:val="00DD0BA4"/>
    <w:rsid w:val="00DD690F"/>
    <w:rsid w:val="00DE2ADD"/>
    <w:rsid w:val="00DF7C5F"/>
    <w:rsid w:val="00E30AA9"/>
    <w:rsid w:val="00E5017E"/>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082"/>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F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A234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2348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23487"/>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A23487"/>
    <w:rPr>
      <w:rFonts w:asciiTheme="majorHAnsi" w:eastAsiaTheme="majorEastAsia" w:hAnsiTheme="majorHAnsi" w:cstheme="majorBidi"/>
      <w:b/>
      <w:bCs/>
      <w:color w:val="4F81BD" w:themeColor="accent1"/>
      <w:sz w:val="24"/>
      <w:szCs w:val="24"/>
      <w:lang w:eastAsia="pt-BR"/>
    </w:rPr>
  </w:style>
  <w:style w:type="character" w:customStyle="1" w:styleId="TtulodoLivro1">
    <w:name w:val="Título do Livro1"/>
    <w:uiPriority w:val="33"/>
    <w:qFormat/>
    <w:rsid w:val="00A23487"/>
    <w:rPr>
      <w:rFonts w:ascii="Cambria" w:eastAsia="Times New Roman" w:hAnsi="Cambria" w:cs="Times New Roman"/>
      <w:b/>
      <w:bCs/>
      <w:i/>
      <w:iCs/>
      <w:color w:val="auto"/>
    </w:rPr>
  </w:style>
  <w:style w:type="paragraph" w:styleId="Legenda">
    <w:name w:val="caption"/>
    <w:basedOn w:val="Normal"/>
    <w:next w:val="Normal"/>
    <w:uiPriority w:val="35"/>
    <w:unhideWhenUsed/>
    <w:qFormat/>
    <w:rsid w:val="00A23487"/>
    <w:pPr>
      <w:spacing w:after="200" w:line="240" w:lineRule="auto"/>
      <w:jc w:val="left"/>
    </w:pPr>
    <w:rPr>
      <w:rFonts w:asciiTheme="minorHAnsi" w:eastAsiaTheme="minorEastAsia" w:hAnsiTheme="minorHAnsi" w:cstheme="minorBidi"/>
      <w:i/>
      <w:iCs/>
      <w:color w:val="1F497D" w:themeColor="text2"/>
      <w:sz w:val="18"/>
      <w:szCs w:val="18"/>
      <w:lang w:eastAsia="en-US"/>
    </w:rPr>
  </w:style>
  <w:style w:type="table" w:styleId="Tabelacomgrade">
    <w:name w:val="Table Grid"/>
    <w:basedOn w:val="Tabelanormal"/>
    <w:uiPriority w:val="59"/>
    <w:rsid w:val="0017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A234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2348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23487"/>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A23487"/>
    <w:rPr>
      <w:rFonts w:asciiTheme="majorHAnsi" w:eastAsiaTheme="majorEastAsia" w:hAnsiTheme="majorHAnsi" w:cstheme="majorBidi"/>
      <w:b/>
      <w:bCs/>
      <w:color w:val="4F81BD" w:themeColor="accent1"/>
      <w:sz w:val="24"/>
      <w:szCs w:val="24"/>
      <w:lang w:eastAsia="pt-BR"/>
    </w:rPr>
  </w:style>
  <w:style w:type="character" w:customStyle="1" w:styleId="TtulodoLivro1">
    <w:name w:val="Título do Livro1"/>
    <w:uiPriority w:val="33"/>
    <w:qFormat/>
    <w:rsid w:val="00A23487"/>
    <w:rPr>
      <w:rFonts w:ascii="Cambria" w:eastAsia="Times New Roman" w:hAnsi="Cambria" w:cs="Times New Roman"/>
      <w:b/>
      <w:bCs/>
      <w:i/>
      <w:iCs/>
      <w:color w:val="auto"/>
    </w:rPr>
  </w:style>
  <w:style w:type="paragraph" w:styleId="Legenda">
    <w:name w:val="caption"/>
    <w:basedOn w:val="Normal"/>
    <w:next w:val="Normal"/>
    <w:uiPriority w:val="35"/>
    <w:unhideWhenUsed/>
    <w:qFormat/>
    <w:rsid w:val="00A23487"/>
    <w:pPr>
      <w:spacing w:after="200" w:line="240" w:lineRule="auto"/>
      <w:jc w:val="left"/>
    </w:pPr>
    <w:rPr>
      <w:rFonts w:asciiTheme="minorHAnsi" w:eastAsiaTheme="minorEastAsia" w:hAnsiTheme="minorHAnsi" w:cstheme="minorBidi"/>
      <w:i/>
      <w:iCs/>
      <w:color w:val="1F497D" w:themeColor="text2"/>
      <w:sz w:val="18"/>
      <w:szCs w:val="18"/>
      <w:lang w:eastAsia="en-US"/>
    </w:rPr>
  </w:style>
  <w:style w:type="table" w:styleId="Tabelacomgrade">
    <w:name w:val="Table Grid"/>
    <w:basedOn w:val="Tabelanormal"/>
    <w:uiPriority w:val="59"/>
    <w:rsid w:val="0017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5.1170255348663998E-2"/>
          <c:y val="9.1292541920632006E-2"/>
          <c:w val="0.80806999125109402"/>
          <c:h val="0.77272032856358097"/>
        </c:manualLayout>
      </c:layout>
      <c:barChart>
        <c:barDir val="col"/>
        <c:grouping val="clustered"/>
        <c:varyColors val="0"/>
        <c:ser>
          <c:idx val="0"/>
          <c:order val="0"/>
          <c:tx>
            <c:strRef>
              <c:f>Sheet1!$B$1</c:f>
              <c:strCache>
                <c:ptCount val="1"/>
                <c:pt idx="0">
                  <c:v>EC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D1S1656</c:v>
                </c:pt>
                <c:pt idx="1">
                  <c:v>D2S441</c:v>
                </c:pt>
                <c:pt idx="2">
                  <c:v>D2S1338</c:v>
                </c:pt>
                <c:pt idx="3">
                  <c:v>D3S1358</c:v>
                </c:pt>
                <c:pt idx="4">
                  <c:v>D5S2500</c:v>
                </c:pt>
                <c:pt idx="5">
                  <c:v>D8S1179</c:v>
                </c:pt>
                <c:pt idx="6">
                  <c:v>D19S433</c:v>
                </c:pt>
                <c:pt idx="7">
                  <c:v>D21S11</c:v>
                </c:pt>
                <c:pt idx="8">
                  <c:v>vWA</c:v>
                </c:pt>
              </c:strCache>
            </c:strRef>
          </c:cat>
          <c:val>
            <c:numRef>
              <c:f>Sheet1!$B$2:$B$10</c:f>
              <c:numCache>
                <c:formatCode>General</c:formatCode>
                <c:ptCount val="9"/>
                <c:pt idx="0">
                  <c:v>8</c:v>
                </c:pt>
                <c:pt idx="1">
                  <c:v>8</c:v>
                </c:pt>
                <c:pt idx="2">
                  <c:v>10</c:v>
                </c:pt>
                <c:pt idx="3">
                  <c:v>6</c:v>
                </c:pt>
                <c:pt idx="4">
                  <c:v>7</c:v>
                </c:pt>
                <c:pt idx="5">
                  <c:v>7</c:v>
                </c:pt>
                <c:pt idx="6">
                  <c:v>10</c:v>
                </c:pt>
                <c:pt idx="7">
                  <c:v>8</c:v>
                </c:pt>
                <c:pt idx="8">
                  <c:v>6</c:v>
                </c:pt>
              </c:numCache>
            </c:numRef>
          </c:val>
        </c:ser>
        <c:ser>
          <c:idx val="2"/>
          <c:order val="1"/>
          <c:tx>
            <c:strRef>
              <c:f>Sheet1!$C$1</c:f>
              <c:strCache>
                <c:ptCount val="1"/>
                <c:pt idx="0">
                  <c:v>SMP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D1S1656</c:v>
                </c:pt>
                <c:pt idx="1">
                  <c:v>D2S441</c:v>
                </c:pt>
                <c:pt idx="2">
                  <c:v>D2S1338</c:v>
                </c:pt>
                <c:pt idx="3">
                  <c:v>D3S1358</c:v>
                </c:pt>
                <c:pt idx="4">
                  <c:v>D5S2500</c:v>
                </c:pt>
                <c:pt idx="5">
                  <c:v>D8S1179</c:v>
                </c:pt>
                <c:pt idx="6">
                  <c:v>D19S433</c:v>
                </c:pt>
                <c:pt idx="7">
                  <c:v>D21S11</c:v>
                </c:pt>
                <c:pt idx="8">
                  <c:v>vWA</c:v>
                </c:pt>
              </c:strCache>
            </c:strRef>
          </c:cat>
          <c:val>
            <c:numRef>
              <c:f>Sheet1!$C$2:$C$10</c:f>
              <c:numCache>
                <c:formatCode>General</c:formatCode>
                <c:ptCount val="9"/>
                <c:pt idx="0">
                  <c:v>11</c:v>
                </c:pt>
                <c:pt idx="1">
                  <c:v>9</c:v>
                </c:pt>
                <c:pt idx="2">
                  <c:v>19</c:v>
                </c:pt>
                <c:pt idx="3">
                  <c:v>11</c:v>
                </c:pt>
                <c:pt idx="4">
                  <c:v>9</c:v>
                </c:pt>
                <c:pt idx="5">
                  <c:v>12</c:v>
                </c:pt>
                <c:pt idx="6">
                  <c:v>11</c:v>
                </c:pt>
                <c:pt idx="7">
                  <c:v>14</c:v>
                </c:pt>
                <c:pt idx="8">
                  <c:v>9</c:v>
                </c:pt>
              </c:numCache>
            </c:numRef>
          </c:val>
        </c:ser>
        <c:dLbls>
          <c:showLegendKey val="0"/>
          <c:showVal val="0"/>
          <c:showCatName val="0"/>
          <c:showSerName val="0"/>
          <c:showPercent val="0"/>
          <c:showBubbleSize val="0"/>
        </c:dLbls>
        <c:gapWidth val="150"/>
        <c:axId val="13097216"/>
        <c:axId val="13238272"/>
      </c:barChart>
      <c:catAx>
        <c:axId val="13097216"/>
        <c:scaling>
          <c:orientation val="minMax"/>
        </c:scaling>
        <c:delete val="0"/>
        <c:axPos val="b"/>
        <c:numFmt formatCode="General" sourceLinked="0"/>
        <c:majorTickMark val="out"/>
        <c:minorTickMark val="none"/>
        <c:tickLblPos val="nextTo"/>
        <c:txPr>
          <a:bodyPr/>
          <a:lstStyle/>
          <a:p>
            <a:pPr>
              <a:defRPr sz="800">
                <a:latin typeface="Arial"/>
              </a:defRPr>
            </a:pPr>
            <a:endParaRPr lang="pt-BR"/>
          </a:p>
        </c:txPr>
        <c:crossAx val="13238272"/>
        <c:crosses val="autoZero"/>
        <c:auto val="1"/>
        <c:lblAlgn val="ctr"/>
        <c:lblOffset val="100"/>
        <c:noMultiLvlLbl val="0"/>
      </c:catAx>
      <c:valAx>
        <c:axId val="13238272"/>
        <c:scaling>
          <c:orientation val="minMax"/>
        </c:scaling>
        <c:delete val="0"/>
        <c:axPos val="l"/>
        <c:majorGridlines/>
        <c:numFmt formatCode="General" sourceLinked="1"/>
        <c:majorTickMark val="out"/>
        <c:minorTickMark val="none"/>
        <c:tickLblPos val="nextTo"/>
        <c:crossAx val="130972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642B-EDCF-431E-86E7-0CC422FF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2017-07-20T17:37:00Z</dcterms:created>
  <dcterms:modified xsi:type="dcterms:W3CDTF">2017-07-20T17:37:00Z</dcterms:modified>
</cp:coreProperties>
</file>