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3B" w:rsidRPr="008C4D3F" w:rsidRDefault="00047A3B" w:rsidP="00047A3B">
      <w:pPr>
        <w:tabs>
          <w:tab w:val="left" w:pos="2977"/>
        </w:tabs>
        <w:jc w:val="center"/>
        <w:rPr>
          <w:b/>
        </w:rPr>
      </w:pPr>
      <w:r>
        <w:rPr>
          <w:b/>
        </w:rPr>
        <w:t xml:space="preserve">CARACTERIZAÇÃO DO SÊMEN DE NEOMACHOS DE </w:t>
      </w:r>
      <w:r w:rsidRPr="00166349">
        <w:rPr>
          <w:b/>
          <w:i/>
        </w:rPr>
        <w:t>Rhamdia quelen</w:t>
      </w:r>
    </w:p>
    <w:p w:rsidR="00C428DA" w:rsidRDefault="00047A3B" w:rsidP="00C428DA">
      <w:pPr>
        <w:spacing w:after="0" w:line="240" w:lineRule="auto"/>
        <w:jc w:val="center"/>
        <w:rPr>
          <w:rFonts w:eastAsia="Times New Roman"/>
          <w:b/>
          <w:szCs w:val="24"/>
          <w:lang w:eastAsia="pt-BR"/>
        </w:rPr>
      </w:pPr>
      <w:r>
        <w:rPr>
          <w:rFonts w:eastAsia="Times New Roman"/>
          <w:b/>
          <w:szCs w:val="24"/>
          <w:lang w:eastAsia="pt-BR"/>
        </w:rPr>
        <w:t>Vanessa Martins da Rocha</w:t>
      </w:r>
      <w:r w:rsidRPr="00047A3B">
        <w:rPr>
          <w:rFonts w:eastAsia="Times New Roman"/>
          <w:b/>
          <w:szCs w:val="24"/>
          <w:vertAlign w:val="superscript"/>
          <w:lang w:eastAsia="pt-BR"/>
        </w:rPr>
        <w:t>1</w:t>
      </w:r>
      <w:r>
        <w:rPr>
          <w:rFonts w:eastAsia="Times New Roman"/>
          <w:b/>
          <w:szCs w:val="24"/>
          <w:vertAlign w:val="superscript"/>
          <w:lang w:eastAsia="pt-BR"/>
        </w:rPr>
        <w:t>*</w:t>
      </w:r>
      <w:r>
        <w:rPr>
          <w:rFonts w:eastAsia="Times New Roman"/>
          <w:b/>
          <w:szCs w:val="24"/>
          <w:lang w:eastAsia="pt-BR"/>
        </w:rPr>
        <w:t>; Susan Kelly</w:t>
      </w:r>
      <w:r w:rsidR="00565488">
        <w:rPr>
          <w:rFonts w:eastAsia="Times New Roman"/>
          <w:b/>
          <w:szCs w:val="24"/>
          <w:lang w:eastAsia="pt-BR"/>
        </w:rPr>
        <w:t xml:space="preserve"> Rodrigues de Sousa</w:t>
      </w:r>
      <w:r w:rsidRPr="00047A3B">
        <w:rPr>
          <w:rFonts w:eastAsia="Times New Roman"/>
          <w:b/>
          <w:szCs w:val="24"/>
          <w:vertAlign w:val="superscript"/>
          <w:lang w:eastAsia="pt-BR"/>
        </w:rPr>
        <w:t>2</w:t>
      </w:r>
      <w:r>
        <w:rPr>
          <w:rFonts w:eastAsia="Times New Roman"/>
          <w:b/>
          <w:szCs w:val="24"/>
          <w:lang w:eastAsia="pt-BR"/>
        </w:rPr>
        <w:t>; Jurandir</w:t>
      </w:r>
      <w:r w:rsidR="005400C0">
        <w:rPr>
          <w:rFonts w:eastAsia="Times New Roman"/>
          <w:b/>
          <w:szCs w:val="24"/>
          <w:lang w:eastAsia="pt-BR"/>
        </w:rPr>
        <w:t xml:space="preserve"> Joaquim</w:t>
      </w:r>
      <w:r>
        <w:rPr>
          <w:rFonts w:eastAsia="Times New Roman"/>
          <w:b/>
          <w:szCs w:val="24"/>
          <w:lang w:eastAsia="pt-BR"/>
        </w:rPr>
        <w:t xml:space="preserve"> Bernardes</w:t>
      </w:r>
      <w:r w:rsidR="00565488">
        <w:rPr>
          <w:rFonts w:eastAsia="Times New Roman"/>
          <w:b/>
          <w:szCs w:val="24"/>
          <w:lang w:eastAsia="pt-BR"/>
        </w:rPr>
        <w:t xml:space="preserve"> Júnior</w:t>
      </w:r>
      <w:r w:rsidRPr="00047A3B">
        <w:rPr>
          <w:rFonts w:eastAsia="Times New Roman"/>
          <w:b/>
          <w:szCs w:val="24"/>
          <w:vertAlign w:val="superscript"/>
          <w:lang w:eastAsia="pt-BR"/>
        </w:rPr>
        <w:t>3</w:t>
      </w:r>
      <w:r>
        <w:rPr>
          <w:rFonts w:eastAsia="Times New Roman"/>
          <w:b/>
          <w:szCs w:val="24"/>
          <w:lang w:eastAsia="pt-BR"/>
        </w:rPr>
        <w:t>; Luciano Augusto Weiss</w:t>
      </w:r>
      <w:r w:rsidRPr="00047A3B">
        <w:rPr>
          <w:rFonts w:eastAsia="Times New Roman"/>
          <w:b/>
          <w:szCs w:val="24"/>
          <w:vertAlign w:val="superscript"/>
          <w:lang w:eastAsia="pt-BR"/>
        </w:rPr>
        <w:t>4</w:t>
      </w:r>
      <w:r>
        <w:rPr>
          <w:rFonts w:eastAsia="Times New Roman"/>
          <w:b/>
          <w:szCs w:val="24"/>
          <w:lang w:eastAsia="pt-BR"/>
        </w:rPr>
        <w:t>; Alex Pires de Oliveira Nuñer</w:t>
      </w:r>
      <w:r w:rsidRPr="00047A3B">
        <w:rPr>
          <w:rFonts w:eastAsia="Times New Roman"/>
          <w:b/>
          <w:szCs w:val="24"/>
          <w:vertAlign w:val="superscript"/>
          <w:lang w:eastAsia="pt-BR"/>
        </w:rPr>
        <w:t>5</w:t>
      </w:r>
      <w:r w:rsidR="00C428DA">
        <w:rPr>
          <w:rFonts w:eastAsia="Times New Roman"/>
          <w:b/>
          <w:szCs w:val="24"/>
          <w:lang w:eastAsia="pt-BR"/>
        </w:rPr>
        <w:t xml:space="preserve">. </w:t>
      </w:r>
    </w:p>
    <w:p w:rsidR="00C428DA" w:rsidRPr="00167185" w:rsidRDefault="00C428DA" w:rsidP="00C428DA">
      <w:pPr>
        <w:spacing w:after="0" w:line="240" w:lineRule="auto"/>
        <w:jc w:val="center"/>
        <w:rPr>
          <w:rFonts w:eastAsia="Times New Roman"/>
          <w:b/>
          <w:szCs w:val="24"/>
          <w:lang w:eastAsia="pt-BR"/>
        </w:rPr>
      </w:pPr>
    </w:p>
    <w:p w:rsidR="00C428DA" w:rsidRPr="00E26FA9" w:rsidRDefault="00C428DA" w:rsidP="00C428DA">
      <w:pPr>
        <w:autoSpaceDE w:val="0"/>
        <w:autoSpaceDN w:val="0"/>
        <w:adjustRightInd w:val="0"/>
        <w:spacing w:after="0" w:line="240" w:lineRule="auto"/>
        <w:jc w:val="both"/>
        <w:rPr>
          <w:sz w:val="20"/>
          <w:szCs w:val="20"/>
        </w:rPr>
      </w:pPr>
      <w:r>
        <w:rPr>
          <w:sz w:val="20"/>
          <w:szCs w:val="20"/>
          <w:vertAlign w:val="superscript"/>
        </w:rPr>
        <w:t>1</w:t>
      </w:r>
      <w:hyperlink r:id="rId7" w:history="1">
        <w:r w:rsidR="00047A3B" w:rsidRPr="00B46906">
          <w:rPr>
            <w:rStyle w:val="Hyperlink"/>
            <w:sz w:val="20"/>
            <w:szCs w:val="20"/>
          </w:rPr>
          <w:t>vanessa.engenhariapesca@gmail.com.</w:t>
        </w:r>
      </w:hyperlink>
      <w:r w:rsidRPr="008332CB">
        <w:rPr>
          <w:sz w:val="20"/>
          <w:szCs w:val="20"/>
        </w:rPr>
        <w:t xml:space="preserve"> </w:t>
      </w:r>
      <w:r w:rsidR="00047A3B">
        <w:rPr>
          <w:sz w:val="20"/>
          <w:szCs w:val="20"/>
        </w:rPr>
        <w:t>Mestranda</w:t>
      </w:r>
      <w:r w:rsidRPr="00E26FA9">
        <w:rPr>
          <w:sz w:val="20"/>
          <w:szCs w:val="20"/>
        </w:rPr>
        <w:t xml:space="preserve"> em </w:t>
      </w:r>
      <w:r>
        <w:rPr>
          <w:sz w:val="20"/>
          <w:szCs w:val="20"/>
        </w:rPr>
        <w:t>Aquicultura</w:t>
      </w:r>
      <w:r w:rsidRPr="00E26FA9">
        <w:rPr>
          <w:sz w:val="20"/>
          <w:szCs w:val="20"/>
        </w:rPr>
        <w:t>/ UF</w:t>
      </w:r>
      <w:r w:rsidR="00047A3B">
        <w:rPr>
          <w:sz w:val="20"/>
          <w:szCs w:val="20"/>
        </w:rPr>
        <w:t>SC</w:t>
      </w:r>
      <w:r>
        <w:rPr>
          <w:sz w:val="20"/>
          <w:szCs w:val="20"/>
        </w:rPr>
        <w:t xml:space="preserve">. </w:t>
      </w:r>
      <w:r>
        <w:rPr>
          <w:sz w:val="20"/>
          <w:szCs w:val="20"/>
          <w:vertAlign w:val="superscript"/>
        </w:rPr>
        <w:t>2</w:t>
      </w:r>
      <w:hyperlink r:id="rId8" w:history="1">
        <w:r w:rsidR="00565488" w:rsidRPr="00B46906">
          <w:rPr>
            <w:rStyle w:val="Hyperlink"/>
            <w:sz w:val="20"/>
            <w:szCs w:val="20"/>
          </w:rPr>
          <w:t>chaveiro.susan@gmail.com</w:t>
        </w:r>
      </w:hyperlink>
      <w:r>
        <w:rPr>
          <w:sz w:val="20"/>
          <w:szCs w:val="20"/>
        </w:rPr>
        <w:t xml:space="preserve">. </w:t>
      </w:r>
      <w:r w:rsidR="00565488">
        <w:rPr>
          <w:sz w:val="20"/>
          <w:szCs w:val="20"/>
        </w:rPr>
        <w:t>Mestranda</w:t>
      </w:r>
      <w:r w:rsidR="00565488" w:rsidRPr="00E26FA9">
        <w:rPr>
          <w:sz w:val="20"/>
          <w:szCs w:val="20"/>
        </w:rPr>
        <w:t xml:space="preserve"> em </w:t>
      </w:r>
      <w:r w:rsidR="00565488">
        <w:rPr>
          <w:sz w:val="20"/>
          <w:szCs w:val="20"/>
        </w:rPr>
        <w:t>Aquicultura</w:t>
      </w:r>
      <w:r w:rsidR="00565488" w:rsidRPr="00E26FA9">
        <w:rPr>
          <w:sz w:val="20"/>
          <w:szCs w:val="20"/>
        </w:rPr>
        <w:t>/ UF</w:t>
      </w:r>
      <w:r w:rsidR="00565488">
        <w:rPr>
          <w:sz w:val="20"/>
          <w:szCs w:val="20"/>
        </w:rPr>
        <w:t xml:space="preserve">SC. </w:t>
      </w:r>
      <w:r w:rsidR="00565488">
        <w:rPr>
          <w:sz w:val="20"/>
          <w:szCs w:val="20"/>
          <w:vertAlign w:val="superscript"/>
        </w:rPr>
        <w:t>3</w:t>
      </w:r>
      <w:hyperlink r:id="rId9" w:history="1">
        <w:r w:rsidR="00565488" w:rsidRPr="00B46906">
          <w:rPr>
            <w:rStyle w:val="Hyperlink"/>
            <w:sz w:val="20"/>
            <w:szCs w:val="20"/>
          </w:rPr>
          <w:t>jurandirjbjr@gmail.com</w:t>
        </w:r>
      </w:hyperlink>
      <w:r w:rsidR="00565488">
        <w:rPr>
          <w:sz w:val="20"/>
          <w:szCs w:val="20"/>
        </w:rPr>
        <w:t xml:space="preserve">. Doutor em Aquicultura/UFSC. </w:t>
      </w:r>
      <w:r w:rsidR="00565488">
        <w:rPr>
          <w:sz w:val="20"/>
          <w:szCs w:val="20"/>
          <w:vertAlign w:val="superscript"/>
        </w:rPr>
        <w:t>4</w:t>
      </w:r>
      <w:hyperlink r:id="rId10" w:history="1">
        <w:r w:rsidR="00565488" w:rsidRPr="00B46906">
          <w:rPr>
            <w:rStyle w:val="Hyperlink"/>
            <w:sz w:val="20"/>
            <w:szCs w:val="20"/>
          </w:rPr>
          <w:t>luciano@lapad.ufsc.br</w:t>
        </w:r>
      </w:hyperlink>
      <w:r w:rsidR="00565488">
        <w:rPr>
          <w:sz w:val="20"/>
          <w:szCs w:val="20"/>
        </w:rPr>
        <w:t xml:space="preserve">. Doutor em Aquicultura/UFSC. </w:t>
      </w:r>
      <w:r w:rsidR="00565488">
        <w:rPr>
          <w:sz w:val="20"/>
          <w:szCs w:val="20"/>
          <w:vertAlign w:val="superscript"/>
        </w:rPr>
        <w:t>5</w:t>
      </w:r>
      <w:hyperlink r:id="rId11" w:history="1">
        <w:r w:rsidR="00565488" w:rsidRPr="00B46906">
          <w:rPr>
            <w:rStyle w:val="Hyperlink"/>
            <w:sz w:val="20"/>
            <w:szCs w:val="20"/>
          </w:rPr>
          <w:t>alex.nuner@ufsc.br</w:t>
        </w:r>
      </w:hyperlink>
      <w:r w:rsidR="00565488">
        <w:rPr>
          <w:sz w:val="20"/>
          <w:szCs w:val="20"/>
        </w:rPr>
        <w:t>. Docente Universidade Federal de Santa Catarina/UFSC.</w:t>
      </w:r>
    </w:p>
    <w:p w:rsidR="003270C9" w:rsidRDefault="003270C9" w:rsidP="00880ABD">
      <w:pPr>
        <w:autoSpaceDE w:val="0"/>
        <w:autoSpaceDN w:val="0"/>
        <w:adjustRightInd w:val="0"/>
        <w:spacing w:after="0" w:line="240" w:lineRule="auto"/>
        <w:jc w:val="both"/>
        <w:rPr>
          <w:b/>
          <w:szCs w:val="24"/>
          <w:lang w:eastAsia="pt-BR"/>
        </w:rPr>
      </w:pP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34763E" w:rsidRPr="00043640" w:rsidRDefault="0034763E" w:rsidP="0034763E">
      <w:pPr>
        <w:jc w:val="both"/>
        <w:rPr>
          <w:color w:val="000000"/>
          <w:szCs w:val="21"/>
        </w:rPr>
      </w:pPr>
      <w:r w:rsidRPr="0034763E">
        <w:rPr>
          <w:szCs w:val="21"/>
        </w:rPr>
        <w:t xml:space="preserve"> </w:t>
      </w:r>
      <w:r>
        <w:rPr>
          <w:szCs w:val="21"/>
        </w:rPr>
        <w:t xml:space="preserve">O objetivo deste estudo foi caracterizar </w:t>
      </w:r>
      <w:r w:rsidRPr="003340DC">
        <w:rPr>
          <w:szCs w:val="21"/>
        </w:rPr>
        <w:t xml:space="preserve">a </w:t>
      </w:r>
      <w:r>
        <w:rPr>
          <w:szCs w:val="21"/>
        </w:rPr>
        <w:t>qualidade do sêmen</w:t>
      </w:r>
      <w:r w:rsidRPr="003340DC">
        <w:rPr>
          <w:szCs w:val="21"/>
        </w:rPr>
        <w:t xml:space="preserve"> de neomachos de </w:t>
      </w:r>
      <w:r>
        <w:rPr>
          <w:szCs w:val="21"/>
        </w:rPr>
        <w:t xml:space="preserve">jundiá, </w:t>
      </w:r>
      <w:r>
        <w:rPr>
          <w:i/>
          <w:szCs w:val="21"/>
        </w:rPr>
        <w:t>Rhamdia</w:t>
      </w:r>
      <w:r w:rsidRPr="003340DC">
        <w:rPr>
          <w:i/>
          <w:szCs w:val="21"/>
        </w:rPr>
        <w:t xml:space="preserve"> quelen</w:t>
      </w:r>
      <w:r>
        <w:rPr>
          <w:szCs w:val="21"/>
        </w:rPr>
        <w:t>, através de parâmetros qualitativos e quantitativos. O</w:t>
      </w:r>
      <w:r w:rsidRPr="0034763E">
        <w:rPr>
          <w:color w:val="000000"/>
          <w:szCs w:val="21"/>
        </w:rPr>
        <w:t xml:space="preserve"> sêmen foi coletado e caracterizado através do volume e concentração do sêmen, motilidade, morfologia e integridade dos espermatozoides, espermatócrito e taxa de fertilização e posteriormente comparado ao sêmen de machos genotípicos utilizando análise estatística. </w:t>
      </w:r>
      <w:r>
        <w:rPr>
          <w:color w:val="000000"/>
          <w:szCs w:val="21"/>
        </w:rPr>
        <w:t>Na coleta realizada em setembro/2016, neomachos apresentaram qualidade do sêmen similar à de machos genotípicos, mas apresentaram espermatozoides com menor porcentagem de células (p &lt; 0,05) com morfologia normal (69,0 ± 10,0%) e menos viáveis a fertilização (47,6 ± 20,5). D</w:t>
      </w:r>
      <w:r w:rsidRPr="009B3949">
        <w:rPr>
          <w:szCs w:val="21"/>
        </w:rPr>
        <w:t>iferenças encontradas</w:t>
      </w:r>
      <w:r>
        <w:rPr>
          <w:szCs w:val="21"/>
        </w:rPr>
        <w:t xml:space="preserve"> no sêmen indicaram</w:t>
      </w:r>
      <w:r w:rsidRPr="009B3949">
        <w:rPr>
          <w:szCs w:val="21"/>
          <w:shd w:val="clear" w:color="auto" w:fill="FFFFFF"/>
        </w:rPr>
        <w:t xml:space="preserve"> que o tratamento hormonal usado para a </w:t>
      </w:r>
      <w:r>
        <w:rPr>
          <w:szCs w:val="21"/>
          <w:shd w:val="clear" w:color="auto" w:fill="FFFFFF"/>
        </w:rPr>
        <w:t>inversão do sexo afetou</w:t>
      </w:r>
      <w:r w:rsidRPr="009B3949">
        <w:rPr>
          <w:szCs w:val="21"/>
          <w:shd w:val="clear" w:color="auto" w:fill="FFFFFF"/>
        </w:rPr>
        <w:t xml:space="preserve"> a qualidade dos espermatozoides</w:t>
      </w:r>
      <w:r>
        <w:rPr>
          <w:szCs w:val="21"/>
          <w:shd w:val="clear" w:color="auto" w:fill="FFFFFF"/>
        </w:rPr>
        <w:t>. No entanto,</w:t>
      </w:r>
      <w:r>
        <w:rPr>
          <w:color w:val="000000"/>
          <w:szCs w:val="21"/>
        </w:rPr>
        <w:t xml:space="preserve"> </w:t>
      </w:r>
      <w:r>
        <w:rPr>
          <w:noProof/>
          <w:szCs w:val="21"/>
        </w:rPr>
        <w:t xml:space="preserve">neomachos de </w:t>
      </w:r>
      <w:r w:rsidRPr="00347499">
        <w:rPr>
          <w:i/>
          <w:noProof/>
          <w:szCs w:val="21"/>
        </w:rPr>
        <w:t>Rhamdia quelen</w:t>
      </w:r>
      <w:r>
        <w:rPr>
          <w:noProof/>
          <w:szCs w:val="21"/>
        </w:rPr>
        <w:t xml:space="preserve"> apresentaram liberação do sêmen da mesma forma que os machos genotípicos, sendo capazes de realizar a fecundação dos ovócitos e gerar descendentes.</w:t>
      </w:r>
    </w:p>
    <w:p w:rsidR="00706E0D" w:rsidRDefault="00706E0D" w:rsidP="00706E0D">
      <w:pPr>
        <w:spacing w:after="0" w:line="240" w:lineRule="auto"/>
        <w:rPr>
          <w:rFonts w:eastAsia="Times New Roman"/>
          <w:b/>
          <w:bCs/>
          <w:szCs w:val="24"/>
          <w:lang w:eastAsia="pt-BR"/>
        </w:rPr>
      </w:pPr>
    </w:p>
    <w:p w:rsidR="0034763E" w:rsidRPr="009504EA" w:rsidRDefault="00880ABD" w:rsidP="0034763E">
      <w:r w:rsidRPr="000C28D0">
        <w:rPr>
          <w:rFonts w:eastAsia="Times New Roman"/>
          <w:b/>
          <w:bCs/>
          <w:szCs w:val="24"/>
          <w:lang w:eastAsia="pt-BR"/>
        </w:rPr>
        <w:t xml:space="preserve">Palavras-chave: </w:t>
      </w:r>
      <w:r w:rsidR="0034763E">
        <w:t xml:space="preserve">Aquicultura. </w:t>
      </w:r>
      <w:r w:rsidR="0034763E" w:rsidRPr="008E7A23">
        <w:t xml:space="preserve">CASA. Concentração. </w:t>
      </w:r>
      <w:r w:rsidR="0034763E" w:rsidRPr="00A625D0">
        <w:t xml:space="preserve">Morfologia de espermatozoides. </w:t>
      </w:r>
      <w:r w:rsidR="0034763E" w:rsidRPr="009504EA">
        <w:t>Taxa de fertilização.</w:t>
      </w:r>
    </w:p>
    <w:p w:rsidR="00880ABD" w:rsidRDefault="00880ABD"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34763E" w:rsidRDefault="0034763E" w:rsidP="00706E0D">
      <w:pPr>
        <w:spacing w:after="0" w:line="240" w:lineRule="auto"/>
        <w:rPr>
          <w:rFonts w:eastAsia="Times New Roman"/>
          <w:szCs w:val="24"/>
          <w:lang w:eastAsia="pt-BR"/>
        </w:rPr>
      </w:pPr>
    </w:p>
    <w:p w:rsidR="00130A67" w:rsidRDefault="00130A67" w:rsidP="00706E0D">
      <w:pPr>
        <w:spacing w:after="0" w:line="240" w:lineRule="auto"/>
        <w:rPr>
          <w:rFonts w:eastAsia="Times New Roman"/>
          <w:szCs w:val="24"/>
          <w:lang w:eastAsia="pt-BR"/>
        </w:rPr>
      </w:pPr>
    </w:p>
    <w:p w:rsidR="00130A67" w:rsidRDefault="00130A67" w:rsidP="00706E0D">
      <w:pPr>
        <w:spacing w:after="0" w:line="240" w:lineRule="auto"/>
        <w:rPr>
          <w:rFonts w:eastAsia="Times New Roman"/>
          <w:szCs w:val="24"/>
          <w:lang w:eastAsia="pt-BR"/>
        </w:rPr>
      </w:pPr>
    </w:p>
    <w:p w:rsidR="00130A67" w:rsidRDefault="00130A67" w:rsidP="00706E0D">
      <w:pPr>
        <w:spacing w:after="0" w:line="240" w:lineRule="auto"/>
        <w:rPr>
          <w:rFonts w:eastAsia="Times New Roman"/>
          <w:szCs w:val="24"/>
          <w:lang w:eastAsia="pt-BR"/>
        </w:rPr>
      </w:pPr>
    </w:p>
    <w:p w:rsidR="0034763E" w:rsidRPr="00706E0D" w:rsidRDefault="0034763E" w:rsidP="00706E0D">
      <w:pPr>
        <w:spacing w:after="0" w:line="240" w:lineRule="auto"/>
        <w:rPr>
          <w:rFonts w:eastAsia="Times New Roman"/>
          <w:szCs w:val="24"/>
          <w:lang w:eastAsia="pt-BR"/>
        </w:rPr>
      </w:pPr>
    </w:p>
    <w:p w:rsidR="006D7C8B" w:rsidRPr="00720802" w:rsidRDefault="006D7C8B" w:rsidP="006D7C8B">
      <w:pPr>
        <w:autoSpaceDE w:val="0"/>
        <w:autoSpaceDN w:val="0"/>
        <w:adjustRightInd w:val="0"/>
        <w:spacing w:after="0" w:line="240" w:lineRule="auto"/>
        <w:jc w:val="both"/>
        <w:rPr>
          <w:b/>
          <w:szCs w:val="24"/>
          <w:lang w:val="en-US" w:eastAsia="pt-BR"/>
        </w:rPr>
      </w:pPr>
      <w:r w:rsidRPr="00720802">
        <w:rPr>
          <w:b/>
          <w:szCs w:val="24"/>
          <w:lang w:val="en-US" w:eastAsia="pt-BR"/>
        </w:rPr>
        <w:lastRenderedPageBreak/>
        <w:t>ABSTRAT</w:t>
      </w:r>
    </w:p>
    <w:p w:rsidR="006D7C8B" w:rsidRPr="00720802" w:rsidRDefault="006D7C8B" w:rsidP="006D7C8B">
      <w:pPr>
        <w:autoSpaceDE w:val="0"/>
        <w:autoSpaceDN w:val="0"/>
        <w:adjustRightInd w:val="0"/>
        <w:spacing w:after="0" w:line="240" w:lineRule="auto"/>
        <w:jc w:val="both"/>
        <w:rPr>
          <w:b/>
          <w:szCs w:val="24"/>
          <w:lang w:val="en-US" w:eastAsia="pt-BR"/>
        </w:rPr>
      </w:pPr>
    </w:p>
    <w:p w:rsidR="0034763E" w:rsidRPr="0034763E" w:rsidRDefault="006D7C8B" w:rsidP="0034763E">
      <w:pPr>
        <w:tabs>
          <w:tab w:val="left" w:pos="4140"/>
        </w:tabs>
        <w:spacing w:after="0" w:line="240" w:lineRule="auto"/>
        <w:jc w:val="both"/>
        <w:rPr>
          <w:color w:val="000000"/>
          <w:lang w:val="en-US"/>
        </w:rPr>
      </w:pPr>
      <w:r w:rsidRPr="0034763E">
        <w:rPr>
          <w:color w:val="000000"/>
          <w:lang w:val="en-US"/>
        </w:rPr>
        <w:t>E</w:t>
      </w:r>
      <w:r w:rsidR="0034763E" w:rsidRPr="0034763E">
        <w:rPr>
          <w:lang w:val="en-US"/>
        </w:rPr>
        <w:t xml:space="preserve"> </w:t>
      </w:r>
      <w:r w:rsidR="0034763E" w:rsidRPr="0034763E">
        <w:rPr>
          <w:color w:val="000000"/>
          <w:lang w:val="en-US"/>
        </w:rPr>
        <w:t xml:space="preserve">The objective of this study was to characterize the semen quality of jundiá neomales, </w:t>
      </w:r>
      <w:r w:rsidR="0034763E" w:rsidRPr="0034763E">
        <w:rPr>
          <w:i/>
          <w:color w:val="000000"/>
          <w:lang w:val="en-US"/>
        </w:rPr>
        <w:t>Rhamdia quelen</w:t>
      </w:r>
      <w:r w:rsidR="0034763E" w:rsidRPr="0034763E">
        <w:rPr>
          <w:color w:val="000000"/>
          <w:lang w:val="en-US"/>
        </w:rPr>
        <w:t xml:space="preserve">, through qualitative and quantitative parameters. Semen was collected and characterized by the volume and concentration of semen, motility, morphology and sperm integrity, spermatocrit and fertilization rate and later compared to semen of genotypic males using statistical analysis. In the sampling made in September/2016, neomales presented semen quality similar to that of genotypic males, but presented spermatozoa with a lower percentage of cells (p &lt; 0.05) with normal morphology (69.0 ± 10.0%) and less viable fertilization (47.6 ± 20.5). Differences in semen indicated that the hormonal treatment used to sex inversion affected sperm quality. However, neomales of </w:t>
      </w:r>
      <w:r w:rsidR="0034763E" w:rsidRPr="0034763E">
        <w:rPr>
          <w:i/>
          <w:color w:val="000000"/>
          <w:lang w:val="en-US"/>
        </w:rPr>
        <w:t>Rhamdia quelen</w:t>
      </w:r>
      <w:r w:rsidR="0034763E" w:rsidRPr="0034763E">
        <w:rPr>
          <w:color w:val="000000"/>
          <w:lang w:val="en-US"/>
        </w:rPr>
        <w:t xml:space="preserve"> presented release of semen in the same way as genotypic males, being able to perform oocyte fertilization and generate offspring.</w:t>
      </w:r>
    </w:p>
    <w:p w:rsidR="0034763E" w:rsidRPr="0034763E" w:rsidRDefault="0034763E" w:rsidP="0034763E">
      <w:pPr>
        <w:tabs>
          <w:tab w:val="left" w:pos="4140"/>
        </w:tabs>
        <w:spacing w:after="0" w:line="240" w:lineRule="auto"/>
        <w:jc w:val="both"/>
        <w:rPr>
          <w:color w:val="000000"/>
          <w:lang w:val="en-US"/>
        </w:rPr>
      </w:pPr>
    </w:p>
    <w:p w:rsidR="006D7C8B" w:rsidRPr="00706E0D" w:rsidRDefault="0034763E" w:rsidP="0034763E">
      <w:pPr>
        <w:tabs>
          <w:tab w:val="left" w:pos="4140"/>
        </w:tabs>
        <w:spacing w:after="0" w:line="240" w:lineRule="auto"/>
        <w:jc w:val="both"/>
        <w:rPr>
          <w:rFonts w:eastAsia="Times New Roman"/>
          <w:szCs w:val="24"/>
          <w:lang w:eastAsia="pt-BR"/>
        </w:rPr>
      </w:pPr>
      <w:r w:rsidRPr="0034763E">
        <w:rPr>
          <w:b/>
          <w:color w:val="000000"/>
          <w:lang w:val="en-US"/>
        </w:rPr>
        <w:t>Key words:</w:t>
      </w:r>
      <w:r w:rsidRPr="0034763E">
        <w:rPr>
          <w:color w:val="000000"/>
          <w:lang w:val="en-US"/>
        </w:rPr>
        <w:t xml:space="preserve"> Aquaculture. CASA. Concentration. Fertilization rate. </w:t>
      </w:r>
      <w:r w:rsidRPr="0034763E">
        <w:rPr>
          <w:color w:val="000000"/>
        </w:rPr>
        <w:t>Sperm morphology.</w:t>
      </w:r>
    </w:p>
    <w:p w:rsidR="00C86FAA" w:rsidRDefault="00C86FAA" w:rsidP="00C86FAA">
      <w:pPr>
        <w:pStyle w:val="Ttulo1"/>
        <w:spacing w:before="0" w:after="0"/>
        <w:ind w:left="360"/>
        <w:rPr>
          <w:rFonts w:ascii="Times New Roman" w:hAnsi="Times New Roman" w:cs="Times New Roman"/>
          <w:sz w:val="28"/>
          <w:szCs w:val="28"/>
        </w:rPr>
      </w:pPr>
    </w:p>
    <w:p w:rsidR="00C86FAA" w:rsidRDefault="00C86FAA" w:rsidP="00C86FAA">
      <w:pPr>
        <w:pStyle w:val="Ttulo1"/>
        <w:spacing w:before="0" w:after="0"/>
        <w:ind w:left="360"/>
        <w:rPr>
          <w:rFonts w:ascii="Times New Roman" w:hAnsi="Times New Roman" w:cs="Times New Roman"/>
          <w:sz w:val="28"/>
          <w:szCs w:val="28"/>
        </w:rPr>
      </w:pPr>
    </w:p>
    <w:p w:rsidR="00376441" w:rsidRPr="00D66241" w:rsidRDefault="00D73C82" w:rsidP="00353954">
      <w:pPr>
        <w:numPr>
          <w:ilvl w:val="0"/>
          <w:numId w:val="5"/>
        </w:numPr>
        <w:spacing w:after="0" w:line="240" w:lineRule="auto"/>
        <w:ind w:left="426" w:hanging="426"/>
        <w:rPr>
          <w:b/>
          <w:szCs w:val="24"/>
        </w:rPr>
      </w:pPr>
      <w:r>
        <w:rPr>
          <w:b/>
          <w:szCs w:val="24"/>
        </w:rPr>
        <w:br w:type="page"/>
      </w:r>
      <w:r w:rsidR="0084602C" w:rsidRPr="00D66241">
        <w:rPr>
          <w:b/>
          <w:szCs w:val="24"/>
        </w:rPr>
        <w:lastRenderedPageBreak/>
        <w:t>INTRODUÇÃO</w:t>
      </w:r>
    </w:p>
    <w:p w:rsidR="00C86FAA" w:rsidRDefault="00C86FAA" w:rsidP="00D66241">
      <w:pPr>
        <w:tabs>
          <w:tab w:val="left" w:pos="4140"/>
        </w:tabs>
        <w:spacing w:after="0" w:line="240" w:lineRule="auto"/>
        <w:ind w:firstLine="539"/>
        <w:jc w:val="both"/>
        <w:rPr>
          <w:color w:val="000000"/>
          <w:szCs w:val="24"/>
        </w:rPr>
      </w:pPr>
    </w:p>
    <w:p w:rsidR="00720802" w:rsidRDefault="00720802" w:rsidP="00720802">
      <w:pPr>
        <w:spacing w:after="0"/>
        <w:ind w:firstLine="720"/>
        <w:jc w:val="both"/>
        <w:rPr>
          <w:szCs w:val="21"/>
        </w:rPr>
      </w:pPr>
      <w:r>
        <w:rPr>
          <w:szCs w:val="21"/>
        </w:rPr>
        <w:t xml:space="preserve">O </w:t>
      </w:r>
      <w:r w:rsidRPr="003D704C">
        <w:rPr>
          <w:szCs w:val="21"/>
        </w:rPr>
        <w:t>crescimento</w:t>
      </w:r>
      <w:r>
        <w:rPr>
          <w:szCs w:val="21"/>
        </w:rPr>
        <w:t xml:space="preserve"> heterogêneo de machos e de fêmeas de jundiá, </w:t>
      </w:r>
      <w:r w:rsidRPr="00AC36FB">
        <w:rPr>
          <w:i/>
          <w:szCs w:val="21"/>
        </w:rPr>
        <w:t xml:space="preserve">Rhamdia quelen </w:t>
      </w:r>
      <w:r w:rsidRPr="00AC36FB">
        <w:rPr>
          <w:szCs w:val="21"/>
        </w:rPr>
        <w:t>(</w:t>
      </w:r>
      <w:r>
        <w:rPr>
          <w:szCs w:val="21"/>
        </w:rPr>
        <w:t>Quoy &amp; Gaimard, 1824), compromete o cultivo da espécie, pois os machos crescem menos que as fêmeas (BALDISSEROTO, 2004). Desse modo, o cultivo monossexo de fêmeas pode vir a ser uma</w:t>
      </w:r>
      <w:r w:rsidRPr="00A1390B">
        <w:rPr>
          <w:szCs w:val="21"/>
        </w:rPr>
        <w:t xml:space="preserve"> alternativa para</w:t>
      </w:r>
      <w:r>
        <w:rPr>
          <w:szCs w:val="21"/>
        </w:rPr>
        <w:t xml:space="preserve"> a produção de</w:t>
      </w:r>
      <w:r w:rsidRPr="00A1390B">
        <w:rPr>
          <w:szCs w:val="21"/>
        </w:rPr>
        <w:t xml:space="preserve"> lotes mais homogêneo</w:t>
      </w:r>
      <w:r>
        <w:rPr>
          <w:szCs w:val="21"/>
        </w:rPr>
        <w:t>s e</w:t>
      </w:r>
      <w:r w:rsidRPr="00A1390B">
        <w:rPr>
          <w:szCs w:val="21"/>
        </w:rPr>
        <w:t xml:space="preserve"> </w:t>
      </w:r>
      <w:r>
        <w:rPr>
          <w:szCs w:val="21"/>
        </w:rPr>
        <w:t xml:space="preserve">para </w:t>
      </w:r>
      <w:r w:rsidRPr="00A1390B">
        <w:rPr>
          <w:szCs w:val="21"/>
        </w:rPr>
        <w:t xml:space="preserve">intensificar </w:t>
      </w:r>
      <w:r>
        <w:rPr>
          <w:szCs w:val="21"/>
        </w:rPr>
        <w:t xml:space="preserve">a </w:t>
      </w:r>
      <w:r w:rsidRPr="00A1390B">
        <w:rPr>
          <w:szCs w:val="21"/>
        </w:rPr>
        <w:t>produção</w:t>
      </w:r>
      <w:r>
        <w:rPr>
          <w:szCs w:val="21"/>
        </w:rPr>
        <w:t xml:space="preserve"> desta espécie (</w:t>
      </w:r>
      <w:r w:rsidR="00973699">
        <w:rPr>
          <w:szCs w:val="21"/>
        </w:rPr>
        <w:t>AMARAL-JUNIOR, 2008a</w:t>
      </w:r>
      <w:r>
        <w:rPr>
          <w:szCs w:val="21"/>
        </w:rPr>
        <w:t xml:space="preserve">), que vem crescendo na região </w:t>
      </w:r>
      <w:r>
        <w:rPr>
          <w:rStyle w:val="sheader6"/>
          <w:bCs/>
          <w:color w:val="000000"/>
          <w:szCs w:val="21"/>
        </w:rPr>
        <w:t xml:space="preserve">Sul do Brasil, por ser uma espécie </w:t>
      </w:r>
      <w:r w:rsidRPr="003D704C">
        <w:rPr>
          <w:rStyle w:val="sheader6"/>
          <w:bCs/>
          <w:color w:val="000000"/>
          <w:szCs w:val="21"/>
        </w:rPr>
        <w:t>nativa que apresenta bom desempenho produtivo</w:t>
      </w:r>
      <w:r>
        <w:rPr>
          <w:rStyle w:val="sheader6"/>
          <w:bCs/>
          <w:color w:val="000000"/>
          <w:szCs w:val="21"/>
        </w:rPr>
        <w:t xml:space="preserve">, </w:t>
      </w:r>
      <w:r w:rsidRPr="003D704C">
        <w:rPr>
          <w:rStyle w:val="sheader6"/>
          <w:bCs/>
          <w:color w:val="000000"/>
          <w:szCs w:val="21"/>
        </w:rPr>
        <w:t xml:space="preserve">adaptabilidade às condições climáticas e </w:t>
      </w:r>
      <w:r>
        <w:rPr>
          <w:szCs w:val="21"/>
        </w:rPr>
        <w:t>cujo processo reprodutivo em piscicultura está dominado</w:t>
      </w:r>
      <w:r w:rsidRPr="003D704C">
        <w:rPr>
          <w:rStyle w:val="sheader6"/>
          <w:bCs/>
          <w:color w:val="000000"/>
          <w:szCs w:val="21"/>
        </w:rPr>
        <w:t xml:space="preserve"> </w:t>
      </w:r>
      <w:r w:rsidRPr="003D704C">
        <w:rPr>
          <w:szCs w:val="21"/>
        </w:rPr>
        <w:t>(B</w:t>
      </w:r>
      <w:r>
        <w:rPr>
          <w:szCs w:val="21"/>
        </w:rPr>
        <w:t>OMBARDELLI</w:t>
      </w:r>
      <w:r w:rsidRPr="003D704C">
        <w:rPr>
          <w:szCs w:val="21"/>
        </w:rPr>
        <w:t xml:space="preserve"> et al</w:t>
      </w:r>
      <w:r>
        <w:rPr>
          <w:szCs w:val="21"/>
        </w:rPr>
        <w:t>.,</w:t>
      </w:r>
      <w:r w:rsidR="00973699">
        <w:rPr>
          <w:szCs w:val="21"/>
        </w:rPr>
        <w:t xml:space="preserve"> 2006</w:t>
      </w:r>
      <w:r>
        <w:rPr>
          <w:szCs w:val="21"/>
        </w:rPr>
        <w:t>).</w:t>
      </w:r>
    </w:p>
    <w:p w:rsidR="00720802" w:rsidRPr="00720802" w:rsidRDefault="00720802" w:rsidP="00720802">
      <w:pPr>
        <w:spacing w:after="0"/>
        <w:ind w:firstLine="708"/>
        <w:jc w:val="both"/>
        <w:rPr>
          <w:color w:val="000000"/>
          <w:szCs w:val="21"/>
        </w:rPr>
      </w:pPr>
      <w:r w:rsidRPr="00720802">
        <w:rPr>
          <w:color w:val="000000"/>
          <w:szCs w:val="21"/>
        </w:rPr>
        <w:t xml:space="preserve">A reversão sexual indireta é uma técnica de produção de lotes monossexo de fêmeas, que consiste na masculinização de fêmeas genotípicas com hormônio androgênico, </w:t>
      </w:r>
      <w:r>
        <w:rPr>
          <w:szCs w:val="21"/>
        </w:rPr>
        <w:t>resultando em uma descendência com machos genotípicos</w:t>
      </w:r>
      <w:r w:rsidRPr="00257C47">
        <w:rPr>
          <w:szCs w:val="21"/>
        </w:rPr>
        <w:t xml:space="preserve"> e</w:t>
      </w:r>
      <w:r>
        <w:rPr>
          <w:szCs w:val="21"/>
        </w:rPr>
        <w:t xml:space="preserve"> </w:t>
      </w:r>
      <w:r w:rsidRPr="00257C47">
        <w:rPr>
          <w:szCs w:val="21"/>
        </w:rPr>
        <w:t>fêmeas invertidas</w:t>
      </w:r>
      <w:r>
        <w:rPr>
          <w:szCs w:val="21"/>
        </w:rPr>
        <w:t>, os chamados neomachos. P</w:t>
      </w:r>
      <w:r w:rsidRPr="00257C47">
        <w:rPr>
          <w:szCs w:val="21"/>
        </w:rPr>
        <w:t>osterior</w:t>
      </w:r>
      <w:r>
        <w:rPr>
          <w:szCs w:val="21"/>
        </w:rPr>
        <w:t>mente é realizado o</w:t>
      </w:r>
      <w:r w:rsidRPr="00257C47">
        <w:rPr>
          <w:szCs w:val="21"/>
        </w:rPr>
        <w:t xml:space="preserve"> cruzamento dos neomachos com fêmeas norma</w:t>
      </w:r>
      <w:r>
        <w:rPr>
          <w:szCs w:val="21"/>
        </w:rPr>
        <w:t>is, dando origem a uma descendência</w:t>
      </w:r>
      <w:r w:rsidRPr="00257C47">
        <w:rPr>
          <w:szCs w:val="21"/>
        </w:rPr>
        <w:t xml:space="preserve"> teoricamente 100% feminina</w:t>
      </w:r>
      <w:r>
        <w:rPr>
          <w:szCs w:val="21"/>
        </w:rPr>
        <w:t>, e livre de hormônios (REIS et al., 2016).</w:t>
      </w:r>
    </w:p>
    <w:p w:rsidR="00720802" w:rsidRPr="004D62C1" w:rsidRDefault="00720802" w:rsidP="00720802">
      <w:pPr>
        <w:spacing w:after="0"/>
        <w:ind w:firstLine="708"/>
        <w:jc w:val="both"/>
        <w:rPr>
          <w:color w:val="000000"/>
          <w:szCs w:val="21"/>
        </w:rPr>
      </w:pPr>
      <w:r w:rsidRPr="004D62C1">
        <w:rPr>
          <w:color w:val="000000"/>
          <w:szCs w:val="21"/>
        </w:rPr>
        <w:t>Todavia, há pouca informação disponív</w:t>
      </w:r>
      <w:r>
        <w:rPr>
          <w:color w:val="000000"/>
          <w:szCs w:val="21"/>
        </w:rPr>
        <w:t>el sobre a qualidade do sêmen de</w:t>
      </w:r>
      <w:r w:rsidRPr="004D62C1">
        <w:rPr>
          <w:color w:val="000000"/>
          <w:szCs w:val="21"/>
        </w:rPr>
        <w:t xml:space="preserve"> neomachos, principalmente de e</w:t>
      </w:r>
      <w:r>
        <w:rPr>
          <w:color w:val="000000"/>
          <w:szCs w:val="21"/>
        </w:rPr>
        <w:t xml:space="preserve">spécies nativas. Estudos mostram </w:t>
      </w:r>
      <w:r w:rsidRPr="004D62C1">
        <w:rPr>
          <w:color w:val="000000"/>
          <w:szCs w:val="21"/>
        </w:rPr>
        <w:t xml:space="preserve">neomachos </w:t>
      </w:r>
      <w:r>
        <w:rPr>
          <w:color w:val="000000"/>
          <w:szCs w:val="21"/>
        </w:rPr>
        <w:t>com gônadas apresentando</w:t>
      </w:r>
      <w:r w:rsidRPr="004D62C1">
        <w:rPr>
          <w:color w:val="000000"/>
          <w:szCs w:val="21"/>
        </w:rPr>
        <w:t xml:space="preserve"> estruturas atrofiadas (RADOSLAW et al., 2011) ou </w:t>
      </w:r>
      <w:r>
        <w:rPr>
          <w:color w:val="000000"/>
          <w:szCs w:val="21"/>
        </w:rPr>
        <w:t xml:space="preserve">produzindo </w:t>
      </w:r>
      <w:r w:rsidRPr="004D62C1">
        <w:rPr>
          <w:color w:val="000000"/>
          <w:szCs w:val="21"/>
        </w:rPr>
        <w:t>sêmen de baixa qualidade (</w:t>
      </w:r>
      <w:r w:rsidRPr="004D62C1">
        <w:rPr>
          <w:szCs w:val="21"/>
        </w:rPr>
        <w:t>RODINA et al., 2008)</w:t>
      </w:r>
      <w:r>
        <w:rPr>
          <w:szCs w:val="21"/>
        </w:rPr>
        <w:t>, o</w:t>
      </w:r>
      <w:r w:rsidRPr="004D62C1">
        <w:rPr>
          <w:szCs w:val="21"/>
        </w:rPr>
        <w:t xml:space="preserve"> </w:t>
      </w:r>
      <w:r w:rsidRPr="004D62C1">
        <w:rPr>
          <w:color w:val="000000"/>
          <w:szCs w:val="21"/>
        </w:rPr>
        <w:t>que poderia comprometer a reprodução.</w:t>
      </w:r>
      <w:r w:rsidRPr="004D62C1">
        <w:rPr>
          <w:szCs w:val="21"/>
        </w:rPr>
        <w:t xml:space="preserve"> </w:t>
      </w:r>
    </w:p>
    <w:p w:rsidR="00720802" w:rsidRDefault="00720802" w:rsidP="00720802">
      <w:pPr>
        <w:spacing w:after="0"/>
        <w:ind w:firstLine="709"/>
        <w:jc w:val="both"/>
        <w:rPr>
          <w:szCs w:val="21"/>
        </w:rPr>
      </w:pPr>
      <w:r w:rsidRPr="004D62C1">
        <w:rPr>
          <w:color w:val="000000"/>
          <w:szCs w:val="21"/>
        </w:rPr>
        <w:t>Nesse contexto, a</w:t>
      </w:r>
      <w:r>
        <w:rPr>
          <w:szCs w:val="21"/>
        </w:rPr>
        <w:t xml:space="preserve"> avaliação do sêmen</w:t>
      </w:r>
      <w:r w:rsidRPr="004D62C1">
        <w:rPr>
          <w:szCs w:val="21"/>
        </w:rPr>
        <w:t xml:space="preserve"> dos neomachos é necessária para predizer o potencial reprodutivo e identificar a viabilidade do uso desses animais na reprodução comercial por meio da descrição do perfil espermático dos reprodutores e da avaliação da qualidade do sêmen coletado (SANCHES et al., 2011</w:t>
      </w:r>
      <w:r>
        <w:rPr>
          <w:szCs w:val="21"/>
        </w:rPr>
        <w:t xml:space="preserve"> </w:t>
      </w:r>
      <w:r w:rsidRPr="004D62C1">
        <w:rPr>
          <w:szCs w:val="21"/>
        </w:rPr>
        <w:t xml:space="preserve">a,b). </w:t>
      </w:r>
    </w:p>
    <w:p w:rsidR="00720802" w:rsidRDefault="00720802" w:rsidP="00720802">
      <w:pPr>
        <w:spacing w:after="0"/>
        <w:ind w:firstLine="709"/>
        <w:jc w:val="both"/>
        <w:rPr>
          <w:szCs w:val="21"/>
        </w:rPr>
      </w:pPr>
      <w:r>
        <w:rPr>
          <w:szCs w:val="21"/>
        </w:rPr>
        <w:t xml:space="preserve">Para a descrição de um perfil espermático, </w:t>
      </w:r>
      <w:r w:rsidRPr="00F94226">
        <w:rPr>
          <w:szCs w:val="21"/>
        </w:rPr>
        <w:t>parâmetros</w:t>
      </w:r>
      <w:r>
        <w:rPr>
          <w:szCs w:val="21"/>
        </w:rPr>
        <w:t xml:space="preserve"> qualitativos e quantitativos</w:t>
      </w:r>
      <w:r w:rsidRPr="00F94226">
        <w:rPr>
          <w:szCs w:val="21"/>
        </w:rPr>
        <w:t xml:space="preserve"> são</w:t>
      </w:r>
      <w:r>
        <w:rPr>
          <w:szCs w:val="21"/>
        </w:rPr>
        <w:t xml:space="preserve"> utilizados na aná</w:t>
      </w:r>
      <w:r w:rsidRPr="00F94226">
        <w:rPr>
          <w:szCs w:val="21"/>
        </w:rPr>
        <w:t>lise das caracterís</w:t>
      </w:r>
      <w:r>
        <w:rPr>
          <w:szCs w:val="21"/>
        </w:rPr>
        <w:t>ticas físicas do sêmen (</w:t>
      </w:r>
      <w:r w:rsidRPr="009B6611">
        <w:rPr>
          <w:szCs w:val="21"/>
        </w:rPr>
        <w:t>R</w:t>
      </w:r>
      <w:r>
        <w:rPr>
          <w:szCs w:val="21"/>
        </w:rPr>
        <w:t>OUTRAY</w:t>
      </w:r>
      <w:r w:rsidRPr="009B6611">
        <w:rPr>
          <w:szCs w:val="21"/>
        </w:rPr>
        <w:t xml:space="preserve"> et al., 2007</w:t>
      </w:r>
      <w:r>
        <w:rPr>
          <w:szCs w:val="21"/>
        </w:rPr>
        <w:t xml:space="preserve">), sendo as principais o </w:t>
      </w:r>
      <w:r w:rsidRPr="00F94226">
        <w:rPr>
          <w:szCs w:val="21"/>
        </w:rPr>
        <w:t>volume</w:t>
      </w:r>
      <w:r>
        <w:rPr>
          <w:szCs w:val="21"/>
        </w:rPr>
        <w:t xml:space="preserve"> e a concentração do sêmen, a morfologia dos espermatozoides, a taxa de motilidade espermática e a integridade da membrana</w:t>
      </w:r>
      <w:r w:rsidRPr="009B6611">
        <w:rPr>
          <w:szCs w:val="21"/>
        </w:rPr>
        <w:t xml:space="preserve"> (S</w:t>
      </w:r>
      <w:r>
        <w:rPr>
          <w:szCs w:val="21"/>
        </w:rPr>
        <w:t>OLIS</w:t>
      </w:r>
      <w:r w:rsidRPr="009B6611">
        <w:rPr>
          <w:szCs w:val="21"/>
        </w:rPr>
        <w:t>-M</w:t>
      </w:r>
      <w:r>
        <w:rPr>
          <w:szCs w:val="21"/>
        </w:rPr>
        <w:t>URGAS</w:t>
      </w:r>
      <w:r w:rsidRPr="009B6611">
        <w:rPr>
          <w:szCs w:val="21"/>
        </w:rPr>
        <w:t xml:space="preserve"> et al., 2011;; Z</w:t>
      </w:r>
      <w:r>
        <w:rPr>
          <w:szCs w:val="21"/>
        </w:rPr>
        <w:t>ANIBONI</w:t>
      </w:r>
      <w:r w:rsidRPr="009B6611">
        <w:rPr>
          <w:szCs w:val="21"/>
        </w:rPr>
        <w:t>-F</w:t>
      </w:r>
      <w:r>
        <w:rPr>
          <w:szCs w:val="21"/>
        </w:rPr>
        <w:t>ILHO</w:t>
      </w:r>
      <w:r w:rsidRPr="009B6611">
        <w:rPr>
          <w:szCs w:val="21"/>
        </w:rPr>
        <w:t xml:space="preserve"> e B</w:t>
      </w:r>
      <w:r>
        <w:rPr>
          <w:szCs w:val="21"/>
        </w:rPr>
        <w:t xml:space="preserve">ALDISSEROTO, 2015), além da </w:t>
      </w:r>
      <w:r w:rsidR="00A854CC">
        <w:rPr>
          <w:szCs w:val="21"/>
        </w:rPr>
        <w:t>taxa de fertilização</w:t>
      </w:r>
      <w:r>
        <w:rPr>
          <w:szCs w:val="21"/>
        </w:rPr>
        <w:t>.</w:t>
      </w:r>
    </w:p>
    <w:p w:rsidR="00720802" w:rsidRDefault="00720802" w:rsidP="00720802">
      <w:pPr>
        <w:spacing w:after="0"/>
        <w:ind w:firstLine="709"/>
        <w:jc w:val="both"/>
        <w:rPr>
          <w:szCs w:val="21"/>
        </w:rPr>
      </w:pPr>
      <w:r>
        <w:rPr>
          <w:szCs w:val="21"/>
        </w:rPr>
        <w:tab/>
        <w:t>Entre os parâmetros mencionados, a</w:t>
      </w:r>
      <w:r>
        <w:rPr>
          <w:noProof/>
          <w:szCs w:val="21"/>
        </w:rPr>
        <w:t xml:space="preserve"> motilidade apresenta influênci</w:t>
      </w:r>
      <w:r w:rsidR="00A854CC">
        <w:rPr>
          <w:noProof/>
          <w:szCs w:val="21"/>
        </w:rPr>
        <w:t>a relevante na fertlização</w:t>
      </w:r>
      <w:r>
        <w:rPr>
          <w:noProof/>
          <w:szCs w:val="21"/>
        </w:rPr>
        <w:t>. No</w:t>
      </w:r>
      <w:r>
        <w:rPr>
          <w:szCs w:val="21"/>
        </w:rPr>
        <w:t xml:space="preserve"> intuito de reduzir a subjetividade nas análises de motilidade</w:t>
      </w:r>
      <w:r>
        <w:rPr>
          <w:noProof/>
          <w:szCs w:val="21"/>
        </w:rPr>
        <w:t>,</w:t>
      </w:r>
      <w:r w:rsidRPr="001065C7">
        <w:rPr>
          <w:szCs w:val="21"/>
        </w:rPr>
        <w:t xml:space="preserve"> </w:t>
      </w:r>
      <w:r>
        <w:rPr>
          <w:szCs w:val="21"/>
        </w:rPr>
        <w:t>sistemas automáticos como o CASA (C</w:t>
      </w:r>
      <w:r w:rsidRPr="00885C8F">
        <w:rPr>
          <w:szCs w:val="21"/>
        </w:rPr>
        <w:t>o</w:t>
      </w:r>
      <w:r>
        <w:rPr>
          <w:szCs w:val="21"/>
        </w:rPr>
        <w:t xml:space="preserve">mputer Assisted Sperm Analysis) têm sido cada vez mais </w:t>
      </w:r>
      <w:r w:rsidR="00C7456E">
        <w:rPr>
          <w:szCs w:val="21"/>
        </w:rPr>
        <w:t>utilizados (</w:t>
      </w:r>
      <w:r>
        <w:rPr>
          <w:szCs w:val="21"/>
        </w:rPr>
        <w:t>ARRUDA et al., 2011).</w:t>
      </w:r>
    </w:p>
    <w:p w:rsidR="00720802" w:rsidRPr="00813C1B" w:rsidRDefault="00720802" w:rsidP="00720802">
      <w:pPr>
        <w:spacing w:after="0"/>
        <w:ind w:firstLine="709"/>
        <w:jc w:val="both"/>
        <w:rPr>
          <w:szCs w:val="21"/>
        </w:rPr>
      </w:pPr>
      <w:r w:rsidRPr="002F29B2">
        <w:rPr>
          <w:szCs w:val="21"/>
        </w:rPr>
        <w:t>O</w:t>
      </w:r>
      <w:r>
        <w:rPr>
          <w:szCs w:val="21"/>
        </w:rPr>
        <w:t>s</w:t>
      </w:r>
      <w:r w:rsidRPr="002F29B2">
        <w:rPr>
          <w:szCs w:val="21"/>
        </w:rPr>
        <w:t xml:space="preserve"> sistema</w:t>
      </w:r>
      <w:r>
        <w:rPr>
          <w:szCs w:val="21"/>
        </w:rPr>
        <w:t>s</w:t>
      </w:r>
      <w:r w:rsidRPr="002F29B2">
        <w:rPr>
          <w:szCs w:val="21"/>
        </w:rPr>
        <w:t xml:space="preserve"> computadorizado</w:t>
      </w:r>
      <w:r>
        <w:rPr>
          <w:szCs w:val="21"/>
        </w:rPr>
        <w:t>s</w:t>
      </w:r>
      <w:r w:rsidRPr="002F29B2">
        <w:rPr>
          <w:szCs w:val="21"/>
        </w:rPr>
        <w:t xml:space="preserve"> fornece</w:t>
      </w:r>
      <w:r>
        <w:rPr>
          <w:szCs w:val="21"/>
        </w:rPr>
        <w:t>m</w:t>
      </w:r>
      <w:r w:rsidRPr="002F29B2">
        <w:rPr>
          <w:szCs w:val="21"/>
        </w:rPr>
        <w:t xml:space="preserve"> dados precisos sobre as características do movimento espermático</w:t>
      </w:r>
      <w:r>
        <w:rPr>
          <w:szCs w:val="21"/>
        </w:rPr>
        <w:t xml:space="preserve">, o que possibilita a obtenção de informação da velocidade espermática de cada espermatozoide, através da análise integrada de imagens digitalizadas </w:t>
      </w:r>
      <w:r w:rsidR="005F2D68">
        <w:rPr>
          <w:szCs w:val="21"/>
        </w:rPr>
        <w:t>(</w:t>
      </w:r>
      <w:r w:rsidRPr="009B6611">
        <w:rPr>
          <w:szCs w:val="21"/>
        </w:rPr>
        <w:t>Z</w:t>
      </w:r>
      <w:r>
        <w:rPr>
          <w:szCs w:val="21"/>
        </w:rPr>
        <w:t>ANIBONI</w:t>
      </w:r>
      <w:r w:rsidRPr="009B6611">
        <w:rPr>
          <w:szCs w:val="21"/>
        </w:rPr>
        <w:t>-F</w:t>
      </w:r>
      <w:r>
        <w:rPr>
          <w:szCs w:val="21"/>
        </w:rPr>
        <w:t>ILHO</w:t>
      </w:r>
      <w:r w:rsidRPr="009B6611">
        <w:rPr>
          <w:szCs w:val="21"/>
        </w:rPr>
        <w:t xml:space="preserve"> e B</w:t>
      </w:r>
      <w:r>
        <w:rPr>
          <w:szCs w:val="21"/>
        </w:rPr>
        <w:t>ALDISSEROTO, 2015</w:t>
      </w:r>
      <w:r w:rsidRPr="00813C1B">
        <w:rPr>
          <w:szCs w:val="21"/>
        </w:rPr>
        <w:t>).</w:t>
      </w:r>
    </w:p>
    <w:p w:rsidR="00720802" w:rsidRDefault="00720802" w:rsidP="00A854CC">
      <w:pPr>
        <w:ind w:firstLine="709"/>
        <w:jc w:val="both"/>
        <w:rPr>
          <w:noProof/>
          <w:szCs w:val="21"/>
        </w:rPr>
      </w:pPr>
      <w:r>
        <w:rPr>
          <w:noProof/>
          <w:szCs w:val="21"/>
        </w:rPr>
        <w:t xml:space="preserve">Desta forma, o objetivo do presente estudo foi caracterizar o sêmen de neomachos de </w:t>
      </w:r>
      <w:r w:rsidRPr="00E053AA">
        <w:rPr>
          <w:i/>
          <w:noProof/>
          <w:szCs w:val="21"/>
        </w:rPr>
        <w:t>Rhamdia quelen</w:t>
      </w:r>
      <w:r w:rsidRPr="009B7A57">
        <w:rPr>
          <w:noProof/>
          <w:szCs w:val="21"/>
        </w:rPr>
        <w:t>,</w:t>
      </w:r>
      <w:r>
        <w:rPr>
          <w:noProof/>
          <w:szCs w:val="21"/>
        </w:rPr>
        <w:t xml:space="preserve"> comparando-o </w:t>
      </w:r>
      <w:r w:rsidRPr="00E053AA">
        <w:rPr>
          <w:noProof/>
          <w:szCs w:val="21"/>
        </w:rPr>
        <w:t xml:space="preserve">com </w:t>
      </w:r>
      <w:r>
        <w:rPr>
          <w:noProof/>
          <w:szCs w:val="21"/>
        </w:rPr>
        <w:t xml:space="preserve">o sêmen de machos </w:t>
      </w:r>
      <w:r>
        <w:rPr>
          <w:szCs w:val="21"/>
        </w:rPr>
        <w:t>genotípicos</w:t>
      </w:r>
      <w:r>
        <w:rPr>
          <w:noProof/>
          <w:szCs w:val="21"/>
        </w:rPr>
        <w:t>, por meio dos principais parâmetros de qualidade do sêmen.</w:t>
      </w: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lastRenderedPageBreak/>
        <w:t>2- MATERIAL E MÉTODOS</w:t>
      </w:r>
    </w:p>
    <w:p w:rsidR="00376441" w:rsidRPr="00C86FAA" w:rsidRDefault="00376441" w:rsidP="00B66396">
      <w:pPr>
        <w:pStyle w:val="Ttulo1"/>
        <w:spacing w:before="0" w:after="0"/>
        <w:jc w:val="both"/>
        <w:rPr>
          <w:rFonts w:ascii="Times New Roman" w:hAnsi="Times New Roman" w:cs="Times New Roman"/>
          <w:caps/>
          <w:sz w:val="24"/>
          <w:szCs w:val="24"/>
        </w:rPr>
      </w:pPr>
    </w:p>
    <w:p w:rsidR="00B66396" w:rsidRPr="00526AC1" w:rsidRDefault="00B66396" w:rsidP="00B66396">
      <w:pPr>
        <w:pStyle w:val="Ttulo3"/>
        <w:spacing w:after="240"/>
        <w:jc w:val="both"/>
        <w:rPr>
          <w:b w:val="0"/>
          <w:i/>
        </w:rPr>
      </w:pPr>
      <w:bookmarkStart w:id="0" w:name="_Toc488692776"/>
      <w:bookmarkStart w:id="1" w:name="_Toc489623746"/>
      <w:r w:rsidRPr="00526AC1">
        <w:rPr>
          <w:b w:val="0"/>
          <w:i/>
        </w:rPr>
        <w:t>Delineamento Experimental</w:t>
      </w:r>
      <w:bookmarkEnd w:id="0"/>
      <w:bookmarkEnd w:id="1"/>
    </w:p>
    <w:p w:rsidR="00B66396" w:rsidRDefault="00B66396" w:rsidP="00B66396">
      <w:pPr>
        <w:spacing w:after="0" w:line="240" w:lineRule="auto"/>
        <w:ind w:firstLine="709"/>
        <w:jc w:val="both"/>
        <w:rPr>
          <w:szCs w:val="21"/>
        </w:rPr>
      </w:pPr>
      <w:r>
        <w:rPr>
          <w:szCs w:val="21"/>
        </w:rPr>
        <w:t xml:space="preserve">O presente estudo analisou, individualmente, o sêmen de neomachos </w:t>
      </w:r>
      <w:r>
        <w:rPr>
          <w:color w:val="000000"/>
          <w:szCs w:val="21"/>
        </w:rPr>
        <w:t>e o sêmen de machos</w:t>
      </w:r>
      <w:r>
        <w:rPr>
          <w:szCs w:val="21"/>
        </w:rPr>
        <w:t xml:space="preserve"> genotípicos de </w:t>
      </w:r>
      <w:r>
        <w:rPr>
          <w:i/>
          <w:szCs w:val="21"/>
        </w:rPr>
        <w:t>Rhamdia</w:t>
      </w:r>
      <w:r w:rsidRPr="00E93A3A">
        <w:rPr>
          <w:i/>
          <w:szCs w:val="21"/>
        </w:rPr>
        <w:t xml:space="preserve"> quelen</w:t>
      </w:r>
      <w:r>
        <w:rPr>
          <w:szCs w:val="21"/>
        </w:rPr>
        <w:t xml:space="preserve"> em três momentos: setembro/2016, abril/2017 e junho/2017. Os neomachos de </w:t>
      </w:r>
      <w:r w:rsidRPr="00E93A3A">
        <w:rPr>
          <w:i/>
          <w:szCs w:val="21"/>
        </w:rPr>
        <w:t>R. quelen</w:t>
      </w:r>
      <w:r>
        <w:rPr>
          <w:szCs w:val="21"/>
        </w:rPr>
        <w:t xml:space="preserve"> utilizados nesse estudo foram produzidos por Weiss (2016), que identificou os animais através de teste de progênie.</w:t>
      </w:r>
    </w:p>
    <w:p w:rsidR="00B66396" w:rsidRDefault="00B66396" w:rsidP="00B66396">
      <w:pPr>
        <w:spacing w:after="0" w:line="240" w:lineRule="auto"/>
        <w:ind w:firstLine="709"/>
        <w:jc w:val="both"/>
        <w:rPr>
          <w:szCs w:val="21"/>
        </w:rPr>
      </w:pPr>
      <w:r>
        <w:rPr>
          <w:szCs w:val="21"/>
        </w:rPr>
        <w:t>Em setembro/2016 o sêmen de três neomachos (</w:t>
      </w:r>
      <w:r>
        <w:rPr>
          <w:color w:val="000000"/>
          <w:szCs w:val="21"/>
        </w:rPr>
        <w:t>481,7 ± 265,8</w:t>
      </w:r>
      <w:r w:rsidRPr="008027CA">
        <w:rPr>
          <w:color w:val="000000"/>
          <w:szCs w:val="21"/>
        </w:rPr>
        <w:t xml:space="preserve"> g)</w:t>
      </w:r>
      <w:r>
        <w:rPr>
          <w:color w:val="000000"/>
          <w:szCs w:val="21"/>
        </w:rPr>
        <w:t xml:space="preserve"> e o sêmen de três machos normais (376,7 ± 107,7 g) foram individualmente </w:t>
      </w:r>
      <w:r>
        <w:rPr>
          <w:szCs w:val="21"/>
        </w:rPr>
        <w:t>caracterizados pelas variáveis: volume e concentração espermática, espermatócrito, morfologia espermática, motilidade e integridade da membrana dos espermatozoides, além da taxa de fertilização, seguindo-se os procedimentos estabelecidos no Protocolo PP00788, aprovado pela Comissão de Ética no Uso de Animais/UFSC.</w:t>
      </w:r>
    </w:p>
    <w:p w:rsidR="00B66396" w:rsidRDefault="00B66396" w:rsidP="00B66396">
      <w:pPr>
        <w:spacing w:after="0" w:line="240" w:lineRule="auto"/>
        <w:ind w:firstLine="709"/>
        <w:jc w:val="both"/>
        <w:rPr>
          <w:szCs w:val="21"/>
        </w:rPr>
      </w:pPr>
      <w:r>
        <w:rPr>
          <w:szCs w:val="21"/>
        </w:rPr>
        <w:t>Nestes estudos todos os reprodutores neomachos e machos eram meio-irmãos e apresentavam idade aproximada de três anos.</w:t>
      </w:r>
    </w:p>
    <w:p w:rsidR="00B66396" w:rsidRPr="00307DA5" w:rsidRDefault="00B66396" w:rsidP="00B66396">
      <w:pPr>
        <w:spacing w:line="240" w:lineRule="auto"/>
        <w:ind w:firstLine="709"/>
        <w:jc w:val="both"/>
        <w:rPr>
          <w:szCs w:val="21"/>
        </w:rPr>
      </w:pPr>
      <w:r>
        <w:rPr>
          <w:szCs w:val="21"/>
        </w:rPr>
        <w:t>Os peixes foram estocados em tanques ligados a um sistema de recirculação de água, com temperatura e luz controladas, e alimentados com ração comercial (Guabi Pirá</w:t>
      </w:r>
      <w:r w:rsidRPr="004F572E">
        <w:rPr>
          <w:szCs w:val="21"/>
          <w:vertAlign w:val="superscript"/>
        </w:rPr>
        <w:t>®</w:t>
      </w:r>
      <w:r>
        <w:rPr>
          <w:szCs w:val="21"/>
        </w:rPr>
        <w:t xml:space="preserve"> pellets de 2-4 mm) com 40% de proteína bruta, que foi oferecida duas vezes ao dia e três vezes por semana.</w:t>
      </w:r>
    </w:p>
    <w:p w:rsidR="00B66396" w:rsidRPr="00526AC1" w:rsidRDefault="00B66396" w:rsidP="00B66396">
      <w:pPr>
        <w:pStyle w:val="Ttulo3"/>
        <w:spacing w:after="240"/>
        <w:jc w:val="both"/>
        <w:rPr>
          <w:b w:val="0"/>
          <w:i/>
        </w:rPr>
      </w:pPr>
      <w:bookmarkStart w:id="2" w:name="_Toc488692777"/>
      <w:bookmarkStart w:id="3" w:name="_Toc489623747"/>
      <w:r>
        <w:rPr>
          <w:b w:val="0"/>
          <w:i/>
        </w:rPr>
        <w:t>Hipofis</w:t>
      </w:r>
      <w:r w:rsidRPr="00526AC1">
        <w:rPr>
          <w:b w:val="0"/>
          <w:i/>
        </w:rPr>
        <w:t>ação dos reprodutores e coleta do sêmen</w:t>
      </w:r>
      <w:bookmarkEnd w:id="2"/>
      <w:bookmarkEnd w:id="3"/>
    </w:p>
    <w:p w:rsidR="00B66396" w:rsidRPr="00105922" w:rsidRDefault="005F2D68" w:rsidP="00B66396">
      <w:pPr>
        <w:spacing w:after="0" w:line="240" w:lineRule="auto"/>
        <w:ind w:firstLine="709"/>
        <w:jc w:val="both"/>
        <w:rPr>
          <w:szCs w:val="21"/>
        </w:rPr>
      </w:pPr>
      <w:r>
        <w:rPr>
          <w:szCs w:val="21"/>
        </w:rPr>
        <w:t>O</w:t>
      </w:r>
      <w:r w:rsidR="00B66396">
        <w:rPr>
          <w:szCs w:val="21"/>
        </w:rPr>
        <w:t>s animais</w:t>
      </w:r>
      <w:r w:rsidR="00B66396" w:rsidRPr="00105922">
        <w:rPr>
          <w:szCs w:val="21"/>
        </w:rPr>
        <w:t xml:space="preserve"> aptos </w:t>
      </w:r>
      <w:r w:rsidR="00B66396">
        <w:rPr>
          <w:szCs w:val="21"/>
        </w:rPr>
        <w:t>para a reprodução</w:t>
      </w:r>
      <w:r w:rsidR="00B66396" w:rsidRPr="00105922">
        <w:rPr>
          <w:szCs w:val="21"/>
        </w:rPr>
        <w:t xml:space="preserve"> foram</w:t>
      </w:r>
      <w:r w:rsidR="00B66396">
        <w:rPr>
          <w:szCs w:val="21"/>
        </w:rPr>
        <w:t xml:space="preserve"> </w:t>
      </w:r>
      <w:r w:rsidR="00B66396" w:rsidRPr="00105922">
        <w:rPr>
          <w:szCs w:val="21"/>
        </w:rPr>
        <w:t>induzidos com extrato pituitário de carpa (EPC), utilizando</w:t>
      </w:r>
      <w:r w:rsidR="00B66396">
        <w:rPr>
          <w:szCs w:val="21"/>
        </w:rPr>
        <w:t>-se</w:t>
      </w:r>
      <w:r w:rsidR="00B66396" w:rsidRPr="00105922">
        <w:rPr>
          <w:szCs w:val="21"/>
        </w:rPr>
        <w:t xml:space="preserve"> duas doses em fêmeas (0,5 e 4,5 mg/kg)</w:t>
      </w:r>
      <w:r w:rsidR="00B66396">
        <w:rPr>
          <w:szCs w:val="21"/>
        </w:rPr>
        <w:t>, com intervalo de 12 h</w:t>
      </w:r>
      <w:r w:rsidR="00B66396" w:rsidRPr="00105922">
        <w:rPr>
          <w:szCs w:val="21"/>
        </w:rPr>
        <w:t xml:space="preserve"> e uma dose em </w:t>
      </w:r>
      <w:r w:rsidR="00B66396">
        <w:rPr>
          <w:szCs w:val="21"/>
        </w:rPr>
        <w:t xml:space="preserve">neomachos e </w:t>
      </w:r>
      <w:r w:rsidR="00B66396" w:rsidRPr="00105922">
        <w:rPr>
          <w:szCs w:val="21"/>
        </w:rPr>
        <w:t>machos</w:t>
      </w:r>
      <w:r w:rsidR="00B66396">
        <w:rPr>
          <w:szCs w:val="21"/>
        </w:rPr>
        <w:t xml:space="preserve"> </w:t>
      </w:r>
      <w:r w:rsidR="00B66396">
        <w:rPr>
          <w:noProof/>
          <w:szCs w:val="21"/>
        </w:rPr>
        <w:t>genotípicos</w:t>
      </w:r>
      <w:r w:rsidR="00B66396">
        <w:rPr>
          <w:szCs w:val="21"/>
        </w:rPr>
        <w:t xml:space="preserve"> </w:t>
      </w:r>
      <w:r w:rsidR="00B66396" w:rsidRPr="00105922">
        <w:rPr>
          <w:szCs w:val="21"/>
        </w:rPr>
        <w:t xml:space="preserve">(2,0 mg/kg) aplicada no momento da segunda dose das fêmeas. </w:t>
      </w:r>
    </w:p>
    <w:p w:rsidR="00B66396" w:rsidRDefault="00B66396" w:rsidP="00B66396">
      <w:pPr>
        <w:spacing w:after="0" w:line="240" w:lineRule="auto"/>
        <w:ind w:firstLine="709"/>
        <w:jc w:val="both"/>
        <w:rPr>
          <w:szCs w:val="21"/>
        </w:rPr>
      </w:pPr>
      <w:r>
        <w:rPr>
          <w:szCs w:val="21"/>
        </w:rPr>
        <w:t>Os gametas foram liberados com 220 horas-grau, após a aplicação da segunda dose, na temperatura da água de 24,8 ºC</w:t>
      </w:r>
      <w:r w:rsidRPr="0054298D">
        <w:rPr>
          <w:szCs w:val="21"/>
        </w:rPr>
        <w:t>.</w:t>
      </w:r>
    </w:p>
    <w:p w:rsidR="00B66396" w:rsidRDefault="00B66396" w:rsidP="00B66396">
      <w:pPr>
        <w:spacing w:after="240" w:line="240" w:lineRule="auto"/>
        <w:ind w:firstLine="709"/>
        <w:jc w:val="both"/>
        <w:rPr>
          <w:szCs w:val="21"/>
        </w:rPr>
      </w:pPr>
      <w:r>
        <w:rPr>
          <w:szCs w:val="21"/>
        </w:rPr>
        <w:t xml:space="preserve">Nos neomachos e nos </w:t>
      </w:r>
      <w:r w:rsidRPr="0054298D">
        <w:rPr>
          <w:szCs w:val="21"/>
        </w:rPr>
        <w:t>machos</w:t>
      </w:r>
      <w:r>
        <w:rPr>
          <w:szCs w:val="21"/>
        </w:rPr>
        <w:t xml:space="preserve"> genotípicos, o sêmen foi</w:t>
      </w:r>
      <w:r w:rsidRPr="0054298D">
        <w:rPr>
          <w:szCs w:val="21"/>
        </w:rPr>
        <w:t xml:space="preserve"> coletado</w:t>
      </w:r>
      <w:r>
        <w:rPr>
          <w:szCs w:val="21"/>
        </w:rPr>
        <w:t xml:space="preserve"> individualmente</w:t>
      </w:r>
      <w:r w:rsidRPr="0054298D">
        <w:rPr>
          <w:szCs w:val="21"/>
        </w:rPr>
        <w:t xml:space="preserve"> até a </w:t>
      </w:r>
      <w:r w:rsidRPr="00536FA0">
        <w:rPr>
          <w:szCs w:val="21"/>
        </w:rPr>
        <w:t xml:space="preserve">redução aparente </w:t>
      </w:r>
      <w:r>
        <w:rPr>
          <w:szCs w:val="21"/>
        </w:rPr>
        <w:t>(SANCHES et al., 2011a) com o uso de seringas plásticas, evitando-se a contaminação com água, sangue, f</w:t>
      </w:r>
      <w:r w:rsidR="00C7456E">
        <w:rPr>
          <w:szCs w:val="21"/>
        </w:rPr>
        <w:t>ezes ou urina</w:t>
      </w:r>
      <w:r>
        <w:rPr>
          <w:szCs w:val="21"/>
        </w:rPr>
        <w:t>. Após a coleta as seringas foram armazenadas em caixas térmicas contendo</w:t>
      </w:r>
      <w:r w:rsidRPr="00536FA0">
        <w:rPr>
          <w:szCs w:val="21"/>
        </w:rPr>
        <w:t xml:space="preserve"> gelo</w:t>
      </w:r>
      <w:r>
        <w:rPr>
          <w:szCs w:val="21"/>
        </w:rPr>
        <w:t xml:space="preserve"> reutilizável. No momento da coleta avaliou-se a coloração e o aspe</w:t>
      </w:r>
      <w:r w:rsidR="00C7456E">
        <w:rPr>
          <w:szCs w:val="21"/>
        </w:rPr>
        <w:t>cto do sêmen, de modo subjetivo.</w:t>
      </w:r>
    </w:p>
    <w:p w:rsidR="00B66396" w:rsidRPr="00F12A73" w:rsidRDefault="00B66396" w:rsidP="00B66396">
      <w:pPr>
        <w:pStyle w:val="Ttulo3"/>
        <w:spacing w:after="240"/>
        <w:jc w:val="both"/>
        <w:rPr>
          <w:b w:val="0"/>
          <w:i/>
        </w:rPr>
      </w:pPr>
      <w:bookmarkStart w:id="4" w:name="_Toc488692779"/>
      <w:bookmarkStart w:id="5" w:name="_Toc489623748"/>
      <w:r w:rsidRPr="00F12A73">
        <w:rPr>
          <w:b w:val="0"/>
          <w:i/>
        </w:rPr>
        <w:t>Volume</w:t>
      </w:r>
      <w:bookmarkEnd w:id="4"/>
      <w:bookmarkEnd w:id="5"/>
    </w:p>
    <w:p w:rsidR="00B66396" w:rsidRDefault="00B66396" w:rsidP="00B66396">
      <w:pPr>
        <w:autoSpaceDE w:val="0"/>
        <w:autoSpaceDN w:val="0"/>
        <w:adjustRightInd w:val="0"/>
        <w:ind w:firstLine="708"/>
        <w:jc w:val="both"/>
        <w:rPr>
          <w:szCs w:val="21"/>
        </w:rPr>
      </w:pPr>
      <w:r w:rsidRPr="007C2185">
        <w:rPr>
          <w:szCs w:val="21"/>
        </w:rPr>
        <w:t>O volume foi aferido com</w:t>
      </w:r>
      <w:r>
        <w:rPr>
          <w:szCs w:val="21"/>
        </w:rPr>
        <w:t xml:space="preserve"> o uso de</w:t>
      </w:r>
      <w:r w:rsidRPr="007C2185">
        <w:rPr>
          <w:szCs w:val="21"/>
        </w:rPr>
        <w:t xml:space="preserve"> seringa plástica de 5</w:t>
      </w:r>
      <w:r>
        <w:rPr>
          <w:szCs w:val="21"/>
        </w:rPr>
        <w:t>,0</w:t>
      </w:r>
      <w:r w:rsidRPr="007C2185">
        <w:rPr>
          <w:szCs w:val="21"/>
        </w:rPr>
        <w:t xml:space="preserve"> mL. Posteriormente, o sêmen foi transferido para eppendorfs de 3</w:t>
      </w:r>
      <w:r>
        <w:rPr>
          <w:szCs w:val="21"/>
        </w:rPr>
        <w:t>,0 mL</w:t>
      </w:r>
      <w:r w:rsidRPr="007C2185">
        <w:rPr>
          <w:szCs w:val="21"/>
        </w:rPr>
        <w:t xml:space="preserve"> </w:t>
      </w:r>
      <w:r>
        <w:rPr>
          <w:szCs w:val="21"/>
        </w:rPr>
        <w:t xml:space="preserve">para a </w:t>
      </w:r>
      <w:r w:rsidRPr="007C2185">
        <w:rPr>
          <w:szCs w:val="21"/>
        </w:rPr>
        <w:t>realização das análises.</w:t>
      </w:r>
    </w:p>
    <w:p w:rsidR="00B66396" w:rsidRPr="00F12A73" w:rsidRDefault="00B66396" w:rsidP="00B66396">
      <w:pPr>
        <w:pStyle w:val="Ttulo3"/>
        <w:spacing w:after="240"/>
        <w:jc w:val="both"/>
        <w:rPr>
          <w:b w:val="0"/>
          <w:i/>
        </w:rPr>
      </w:pPr>
      <w:bookmarkStart w:id="6" w:name="_Toc488692783"/>
      <w:bookmarkStart w:id="7" w:name="_Toc489623749"/>
      <w:r w:rsidRPr="00F12A73">
        <w:rPr>
          <w:b w:val="0"/>
          <w:i/>
        </w:rPr>
        <w:t>Concentração espermática</w:t>
      </w:r>
      <w:bookmarkEnd w:id="6"/>
      <w:bookmarkEnd w:id="7"/>
    </w:p>
    <w:p w:rsidR="00B66396" w:rsidRPr="007C2185" w:rsidRDefault="00B66396" w:rsidP="00B66396">
      <w:pPr>
        <w:autoSpaceDE w:val="0"/>
        <w:autoSpaceDN w:val="0"/>
        <w:adjustRightInd w:val="0"/>
        <w:spacing w:after="0"/>
        <w:ind w:firstLine="708"/>
        <w:jc w:val="both"/>
        <w:rPr>
          <w:szCs w:val="21"/>
        </w:rPr>
      </w:pPr>
      <w:r>
        <w:rPr>
          <w:szCs w:val="21"/>
        </w:rPr>
        <w:t>Nesta análise uma alíquota de 10 μL</w:t>
      </w:r>
      <w:r w:rsidRPr="007C2185">
        <w:rPr>
          <w:szCs w:val="21"/>
        </w:rPr>
        <w:t xml:space="preserve"> de sêmen </w:t>
      </w:r>
      <w:r w:rsidRPr="007C2185">
        <w:rPr>
          <w:i/>
          <w:szCs w:val="21"/>
        </w:rPr>
        <w:t>in natura</w:t>
      </w:r>
      <w:r w:rsidRPr="007C2185">
        <w:rPr>
          <w:szCs w:val="21"/>
        </w:rPr>
        <w:t xml:space="preserve"> foi diluída (1:100, sêmen:volume total) em solução de formol-citrato (2,9 g de citrato de sódio, 4,0 mL de formaldeído a 35% e 100 mL de água destilada)</w:t>
      </w:r>
      <w:r>
        <w:rPr>
          <w:szCs w:val="21"/>
        </w:rPr>
        <w:t>. Em</w:t>
      </w:r>
      <w:r w:rsidRPr="007C2185">
        <w:rPr>
          <w:szCs w:val="21"/>
        </w:rPr>
        <w:t xml:space="preserve"> </w:t>
      </w:r>
      <w:r>
        <w:rPr>
          <w:szCs w:val="21"/>
        </w:rPr>
        <w:t>amostras muito concentradas</w:t>
      </w:r>
      <w:r w:rsidRPr="007C2185">
        <w:rPr>
          <w:szCs w:val="21"/>
        </w:rPr>
        <w:t xml:space="preserve"> uma alíquota de 1</w:t>
      </w:r>
      <w:r>
        <w:rPr>
          <w:szCs w:val="21"/>
        </w:rPr>
        <w:t>,0 μL</w:t>
      </w:r>
      <w:r w:rsidRPr="007C2185">
        <w:rPr>
          <w:szCs w:val="21"/>
        </w:rPr>
        <w:t xml:space="preserve"> do volume</w:t>
      </w:r>
      <w:r>
        <w:rPr>
          <w:szCs w:val="21"/>
        </w:rPr>
        <w:t xml:space="preserve"> foi novamente diluída em 999 μL</w:t>
      </w:r>
      <w:r w:rsidRPr="007C2185">
        <w:rPr>
          <w:szCs w:val="21"/>
        </w:rPr>
        <w:t xml:space="preserve"> (1:1000) para facilitar a contagem.</w:t>
      </w:r>
    </w:p>
    <w:p w:rsidR="00B66396" w:rsidRPr="007C2185" w:rsidRDefault="00B66396" w:rsidP="00B66396">
      <w:pPr>
        <w:autoSpaceDE w:val="0"/>
        <w:autoSpaceDN w:val="0"/>
        <w:adjustRightInd w:val="0"/>
        <w:spacing w:after="0"/>
        <w:ind w:firstLine="708"/>
        <w:jc w:val="both"/>
        <w:rPr>
          <w:szCs w:val="21"/>
        </w:rPr>
      </w:pPr>
      <w:r w:rsidRPr="007C2185">
        <w:rPr>
          <w:szCs w:val="21"/>
        </w:rPr>
        <w:t xml:space="preserve">A </w:t>
      </w:r>
      <w:r>
        <w:rPr>
          <w:szCs w:val="21"/>
        </w:rPr>
        <w:t>c</w:t>
      </w:r>
      <w:r w:rsidRPr="007C2185">
        <w:rPr>
          <w:szCs w:val="21"/>
        </w:rPr>
        <w:t>oncentração espermática foi det</w:t>
      </w:r>
      <w:r>
        <w:rPr>
          <w:szCs w:val="21"/>
        </w:rPr>
        <w:t>erminada através da contagem do número de</w:t>
      </w:r>
      <w:r w:rsidRPr="007C2185">
        <w:rPr>
          <w:szCs w:val="21"/>
        </w:rPr>
        <w:t xml:space="preserve"> esp</w:t>
      </w:r>
      <w:r>
        <w:rPr>
          <w:szCs w:val="21"/>
        </w:rPr>
        <w:t>ermatozoides (espermatozoides/mL</w:t>
      </w:r>
      <w:r w:rsidRPr="007C2185">
        <w:rPr>
          <w:szCs w:val="21"/>
        </w:rPr>
        <w:t>) em câmara hematimétrica de</w:t>
      </w:r>
      <w:r w:rsidR="00973699">
        <w:rPr>
          <w:szCs w:val="21"/>
        </w:rPr>
        <w:t xml:space="preserve"> Neubauer</w:t>
      </w:r>
      <w:r w:rsidRPr="007C2185">
        <w:rPr>
          <w:szCs w:val="21"/>
        </w:rPr>
        <w:t>.</w:t>
      </w:r>
      <w:r>
        <w:rPr>
          <w:szCs w:val="21"/>
        </w:rPr>
        <w:t xml:space="preserve"> </w:t>
      </w:r>
      <w:r w:rsidRPr="007C2185">
        <w:rPr>
          <w:szCs w:val="21"/>
        </w:rPr>
        <w:t xml:space="preserve">Na câmera de Neubauer foi </w:t>
      </w:r>
      <w:r>
        <w:rPr>
          <w:szCs w:val="21"/>
        </w:rPr>
        <w:t>adicionado</w:t>
      </w:r>
      <w:r w:rsidRPr="007C2185">
        <w:rPr>
          <w:szCs w:val="21"/>
        </w:rPr>
        <w:t xml:space="preserve"> 1</w:t>
      </w:r>
      <w:r>
        <w:rPr>
          <w:szCs w:val="21"/>
        </w:rPr>
        <w:t>,0</w:t>
      </w:r>
      <w:r w:rsidR="00720802">
        <w:rPr>
          <w:szCs w:val="21"/>
        </w:rPr>
        <w:t xml:space="preserve"> μL</w:t>
      </w:r>
      <w:r w:rsidRPr="007C2185">
        <w:rPr>
          <w:szCs w:val="21"/>
        </w:rPr>
        <w:t xml:space="preserve"> d</w:t>
      </w:r>
      <w:r>
        <w:rPr>
          <w:szCs w:val="21"/>
        </w:rPr>
        <w:t>o sêmen diluído</w:t>
      </w:r>
      <w:r w:rsidRPr="007C2185">
        <w:rPr>
          <w:szCs w:val="21"/>
        </w:rPr>
        <w:t>, sendo contados os espermatozoides presentes em cinco quadrículas</w:t>
      </w:r>
      <w:r>
        <w:rPr>
          <w:szCs w:val="21"/>
        </w:rPr>
        <w:t>, sendo a concentração calculada</w:t>
      </w:r>
      <w:r w:rsidRPr="007C2185">
        <w:rPr>
          <w:szCs w:val="21"/>
        </w:rPr>
        <w:t xml:space="preserve"> conforme CBRA (1998).</w:t>
      </w:r>
    </w:p>
    <w:p w:rsidR="00B66396" w:rsidRPr="00F12A73" w:rsidRDefault="00B66396" w:rsidP="00B66396">
      <w:pPr>
        <w:pStyle w:val="Ttulo3"/>
        <w:spacing w:after="240"/>
        <w:jc w:val="both"/>
        <w:rPr>
          <w:b w:val="0"/>
          <w:i/>
        </w:rPr>
      </w:pPr>
      <w:bookmarkStart w:id="8" w:name="_Toc488692782"/>
      <w:bookmarkStart w:id="9" w:name="_Toc489623750"/>
      <w:r w:rsidRPr="00F12A73">
        <w:rPr>
          <w:b w:val="0"/>
          <w:i/>
        </w:rPr>
        <w:lastRenderedPageBreak/>
        <w:t>Espermatócrito</w:t>
      </w:r>
      <w:bookmarkEnd w:id="8"/>
      <w:bookmarkEnd w:id="9"/>
    </w:p>
    <w:p w:rsidR="00B66396" w:rsidRPr="007C2185" w:rsidRDefault="00B66396" w:rsidP="00B66396">
      <w:pPr>
        <w:autoSpaceDE w:val="0"/>
        <w:autoSpaceDN w:val="0"/>
        <w:adjustRightInd w:val="0"/>
        <w:spacing w:after="0"/>
        <w:ind w:firstLine="708"/>
        <w:jc w:val="both"/>
        <w:rPr>
          <w:szCs w:val="21"/>
        </w:rPr>
      </w:pPr>
      <w:r w:rsidRPr="007C2185">
        <w:rPr>
          <w:szCs w:val="21"/>
        </w:rPr>
        <w:t xml:space="preserve">A mensuração do espermatócrito foi realizada com o sêmen fresco utilizando-se tubos capilares de micro-hematócrito, que foram preenchidos com aproximadamente 70% de sêmen e vedados em uma das extremidades. </w:t>
      </w:r>
    </w:p>
    <w:p w:rsidR="00B66396" w:rsidRPr="007C2185" w:rsidRDefault="00B66396" w:rsidP="00B66396">
      <w:pPr>
        <w:autoSpaceDE w:val="0"/>
        <w:autoSpaceDN w:val="0"/>
        <w:adjustRightInd w:val="0"/>
        <w:spacing w:after="0"/>
        <w:ind w:firstLine="708"/>
        <w:jc w:val="both"/>
        <w:rPr>
          <w:szCs w:val="21"/>
        </w:rPr>
      </w:pPr>
      <w:r w:rsidRPr="007C2185">
        <w:rPr>
          <w:szCs w:val="21"/>
        </w:rPr>
        <w:t xml:space="preserve"> Em segu</w:t>
      </w:r>
      <w:r>
        <w:rPr>
          <w:szCs w:val="21"/>
        </w:rPr>
        <w:t>ida, os tubos foram submetidos a uma</w:t>
      </w:r>
      <w:r w:rsidRPr="007C2185">
        <w:rPr>
          <w:szCs w:val="21"/>
        </w:rPr>
        <w:t xml:space="preserve"> centrifugação a 1</w:t>
      </w:r>
      <w:r>
        <w:rPr>
          <w:szCs w:val="21"/>
        </w:rPr>
        <w:t xml:space="preserve">2.000 rpm (rotações por minuto) </w:t>
      </w:r>
      <w:r w:rsidRPr="007C2185">
        <w:rPr>
          <w:szCs w:val="21"/>
        </w:rPr>
        <w:t>por 15 mi</w:t>
      </w:r>
      <w:r>
        <w:rPr>
          <w:szCs w:val="21"/>
        </w:rPr>
        <w:t>n,</w:t>
      </w:r>
      <w:r w:rsidRPr="007C2185">
        <w:rPr>
          <w:szCs w:val="21"/>
        </w:rPr>
        <w:t xml:space="preserve"> em uma microcentrífuga (centrífuga - CENTRIBIO Hematocrit®). </w:t>
      </w:r>
      <w:r>
        <w:rPr>
          <w:szCs w:val="21"/>
        </w:rPr>
        <w:t>O</w:t>
      </w:r>
      <w:r w:rsidRPr="007C2185">
        <w:rPr>
          <w:szCs w:val="21"/>
        </w:rPr>
        <w:t xml:space="preserve"> percentual de massa</w:t>
      </w:r>
      <w:r>
        <w:rPr>
          <w:szCs w:val="21"/>
        </w:rPr>
        <w:t xml:space="preserve"> celular presente no sêmen foi mensurado</w:t>
      </w:r>
      <w:r w:rsidRPr="007C2185">
        <w:rPr>
          <w:szCs w:val="21"/>
        </w:rPr>
        <w:t xml:space="preserve"> c</w:t>
      </w:r>
      <w:r w:rsidR="00973699">
        <w:rPr>
          <w:szCs w:val="21"/>
        </w:rPr>
        <w:t>om o auxílio de uma régua.</w:t>
      </w:r>
    </w:p>
    <w:p w:rsidR="00B66396" w:rsidRPr="00F12A73" w:rsidRDefault="00B66396" w:rsidP="00B66396">
      <w:pPr>
        <w:pStyle w:val="Ttulo3"/>
        <w:spacing w:after="240"/>
        <w:jc w:val="both"/>
        <w:rPr>
          <w:b w:val="0"/>
          <w:i/>
        </w:rPr>
      </w:pPr>
      <w:bookmarkStart w:id="10" w:name="_Toc488692784"/>
      <w:bookmarkStart w:id="11" w:name="_Toc489623751"/>
      <w:bookmarkStart w:id="12" w:name="_Toc488692780"/>
      <w:r w:rsidRPr="00F12A73">
        <w:rPr>
          <w:b w:val="0"/>
          <w:i/>
        </w:rPr>
        <w:t>Morfologia espermática</w:t>
      </w:r>
      <w:bookmarkEnd w:id="10"/>
      <w:bookmarkEnd w:id="11"/>
    </w:p>
    <w:p w:rsidR="00B66396" w:rsidRDefault="00B66396" w:rsidP="00B66396">
      <w:pPr>
        <w:autoSpaceDE w:val="0"/>
        <w:autoSpaceDN w:val="0"/>
        <w:adjustRightInd w:val="0"/>
        <w:spacing w:after="0"/>
        <w:ind w:firstLine="708"/>
        <w:jc w:val="both"/>
        <w:rPr>
          <w:szCs w:val="21"/>
        </w:rPr>
      </w:pPr>
      <w:r>
        <w:rPr>
          <w:szCs w:val="21"/>
        </w:rPr>
        <w:t>Inicialmente</w:t>
      </w:r>
      <w:r w:rsidRPr="000C6F22">
        <w:rPr>
          <w:szCs w:val="21"/>
        </w:rPr>
        <w:t xml:space="preserve"> uma alíquota de 10 μL de sêmen foi diluída </w:t>
      </w:r>
      <w:r w:rsidRPr="00521A7F">
        <w:rPr>
          <w:szCs w:val="21"/>
        </w:rPr>
        <w:t>em solução de f</w:t>
      </w:r>
      <w:r>
        <w:rPr>
          <w:szCs w:val="21"/>
        </w:rPr>
        <w:t>ormol-citrato (1:1</w:t>
      </w:r>
      <w:r w:rsidRPr="000C6F22">
        <w:rPr>
          <w:szCs w:val="21"/>
        </w:rPr>
        <w:t>00, sêmen:volume total)</w:t>
      </w:r>
      <w:r>
        <w:rPr>
          <w:szCs w:val="21"/>
        </w:rPr>
        <w:t>. Posteriormente, a 1,0</w:t>
      </w:r>
      <w:r w:rsidRPr="00521A7F">
        <w:rPr>
          <w:szCs w:val="21"/>
        </w:rPr>
        <w:t xml:space="preserve"> </w:t>
      </w:r>
      <w:r w:rsidRPr="000C6F22">
        <w:rPr>
          <w:szCs w:val="21"/>
        </w:rPr>
        <w:t>μL</w:t>
      </w:r>
      <w:r>
        <w:rPr>
          <w:szCs w:val="21"/>
        </w:rPr>
        <w:t xml:space="preserve"> desta solução diluída foram adicionados 40 </w:t>
      </w:r>
      <w:r w:rsidRPr="000C6F22">
        <w:rPr>
          <w:szCs w:val="21"/>
        </w:rPr>
        <w:t>μL</w:t>
      </w:r>
      <w:r w:rsidRPr="00521A7F">
        <w:rPr>
          <w:szCs w:val="21"/>
        </w:rPr>
        <w:t xml:space="preserve"> </w:t>
      </w:r>
      <w:r>
        <w:rPr>
          <w:szCs w:val="21"/>
        </w:rPr>
        <w:t>de corante rosa b</w:t>
      </w:r>
      <w:r w:rsidR="00973699">
        <w:rPr>
          <w:szCs w:val="21"/>
        </w:rPr>
        <w:t>engala</w:t>
      </w:r>
      <w:r w:rsidRPr="00521A7F">
        <w:rPr>
          <w:szCs w:val="21"/>
        </w:rPr>
        <w:t>.</w:t>
      </w:r>
      <w:r>
        <w:rPr>
          <w:szCs w:val="21"/>
        </w:rPr>
        <w:t xml:space="preserve"> </w:t>
      </w:r>
    </w:p>
    <w:p w:rsidR="00B66396" w:rsidRDefault="00B66396" w:rsidP="00B66396">
      <w:pPr>
        <w:autoSpaceDE w:val="0"/>
        <w:autoSpaceDN w:val="0"/>
        <w:adjustRightInd w:val="0"/>
        <w:spacing w:after="0"/>
        <w:ind w:firstLine="708"/>
        <w:jc w:val="both"/>
        <w:rPr>
          <w:szCs w:val="21"/>
        </w:rPr>
      </w:pPr>
      <w:r>
        <w:rPr>
          <w:szCs w:val="21"/>
        </w:rPr>
        <w:t xml:space="preserve">Para análise da morfologia dos espermatozoides, uma alíquota de 1,0 </w:t>
      </w:r>
      <w:r w:rsidRPr="000C6F22">
        <w:rPr>
          <w:szCs w:val="21"/>
        </w:rPr>
        <w:t>μL</w:t>
      </w:r>
      <w:r>
        <w:rPr>
          <w:szCs w:val="21"/>
        </w:rPr>
        <w:t xml:space="preserve"> de sêmen corado foi colocada sobre lâmina para realização de esfregaço.</w:t>
      </w:r>
    </w:p>
    <w:p w:rsidR="00B66396" w:rsidRDefault="00B66396" w:rsidP="00B66396">
      <w:pPr>
        <w:autoSpaceDE w:val="0"/>
        <w:autoSpaceDN w:val="0"/>
        <w:adjustRightInd w:val="0"/>
        <w:spacing w:after="0"/>
        <w:ind w:firstLine="708"/>
        <w:jc w:val="both"/>
        <w:rPr>
          <w:szCs w:val="21"/>
        </w:rPr>
      </w:pPr>
      <w:r>
        <w:rPr>
          <w:szCs w:val="21"/>
        </w:rPr>
        <w:t>Depois de seco, o esfregaço foi</w:t>
      </w:r>
      <w:r w:rsidRPr="00521A7F">
        <w:rPr>
          <w:szCs w:val="21"/>
        </w:rPr>
        <w:t xml:space="preserve"> observado em microscópio de luz para contagem (</w:t>
      </w:r>
      <w:r w:rsidRPr="00521A7F">
        <w:rPr>
          <w:i/>
          <w:iCs/>
          <w:szCs w:val="21"/>
        </w:rPr>
        <w:t>n</w:t>
      </w:r>
      <w:r w:rsidRPr="00521A7F">
        <w:rPr>
          <w:szCs w:val="21"/>
        </w:rPr>
        <w:t xml:space="preserve">=200) e </w:t>
      </w:r>
      <w:r>
        <w:rPr>
          <w:szCs w:val="21"/>
        </w:rPr>
        <w:t xml:space="preserve">a </w:t>
      </w:r>
      <w:r w:rsidRPr="00521A7F">
        <w:rPr>
          <w:szCs w:val="21"/>
        </w:rPr>
        <w:t>classificação dos espermatozoides</w:t>
      </w:r>
      <w:r>
        <w:rPr>
          <w:szCs w:val="21"/>
        </w:rPr>
        <w:t xml:space="preserve"> em normais ou com pr</w:t>
      </w:r>
      <w:r w:rsidR="00973699">
        <w:rPr>
          <w:szCs w:val="21"/>
        </w:rPr>
        <w:t>esença de anormalidades.</w:t>
      </w:r>
      <w:r w:rsidRPr="00521A7F">
        <w:rPr>
          <w:szCs w:val="21"/>
        </w:rPr>
        <w:t xml:space="preserve"> </w:t>
      </w:r>
    </w:p>
    <w:p w:rsidR="00B66396" w:rsidRDefault="00B66396" w:rsidP="00B66396">
      <w:pPr>
        <w:autoSpaceDE w:val="0"/>
        <w:autoSpaceDN w:val="0"/>
        <w:adjustRightInd w:val="0"/>
        <w:spacing w:after="0"/>
        <w:ind w:firstLine="708"/>
        <w:jc w:val="both"/>
        <w:rPr>
          <w:szCs w:val="21"/>
        </w:rPr>
      </w:pPr>
      <w:r w:rsidRPr="00521A7F">
        <w:rPr>
          <w:szCs w:val="21"/>
        </w:rPr>
        <w:t>As anormalidades morfológicas</w:t>
      </w:r>
      <w:r>
        <w:rPr>
          <w:szCs w:val="21"/>
        </w:rPr>
        <w:t xml:space="preserve"> foram classificadas em</w:t>
      </w:r>
      <w:r w:rsidRPr="00521A7F">
        <w:rPr>
          <w:szCs w:val="21"/>
        </w:rPr>
        <w:t xml:space="preserve"> prim</w:t>
      </w:r>
      <w:r>
        <w:rPr>
          <w:szCs w:val="21"/>
        </w:rPr>
        <w:t>á</w:t>
      </w:r>
      <w:r w:rsidRPr="00521A7F">
        <w:rPr>
          <w:szCs w:val="21"/>
        </w:rPr>
        <w:t>rias</w:t>
      </w:r>
      <w:r>
        <w:rPr>
          <w:szCs w:val="21"/>
        </w:rPr>
        <w:t>, quando os espermatozoides apresentavam cauda dobrada</w:t>
      </w:r>
      <w:r w:rsidRPr="00521A7F">
        <w:rPr>
          <w:szCs w:val="21"/>
        </w:rPr>
        <w:t>,</w:t>
      </w:r>
      <w:r>
        <w:rPr>
          <w:szCs w:val="21"/>
        </w:rPr>
        <w:t xml:space="preserve"> </w:t>
      </w:r>
      <w:r w:rsidRPr="00521A7F">
        <w:rPr>
          <w:szCs w:val="21"/>
        </w:rPr>
        <w:t>enrolada,</w:t>
      </w:r>
      <w:r>
        <w:rPr>
          <w:szCs w:val="21"/>
        </w:rPr>
        <w:t xml:space="preserve"> </w:t>
      </w:r>
      <w:r w:rsidRPr="00521A7F">
        <w:rPr>
          <w:szCs w:val="21"/>
        </w:rPr>
        <w:t>curta,</w:t>
      </w:r>
      <w:r>
        <w:rPr>
          <w:szCs w:val="21"/>
        </w:rPr>
        <w:t xml:space="preserve"> curvada e/ou dupla e cabeça pequena e/ou grande, ou</w:t>
      </w:r>
      <w:r w:rsidRPr="00521A7F">
        <w:rPr>
          <w:szCs w:val="21"/>
        </w:rPr>
        <w:t xml:space="preserve"> </w:t>
      </w:r>
      <w:r>
        <w:rPr>
          <w:szCs w:val="21"/>
        </w:rPr>
        <w:t>em secundárias, quando os espermatozoides apresentavam cauda tipo gancho, ausência de cabeça e/ou cauda solta</w:t>
      </w:r>
      <w:r w:rsidRPr="00521A7F">
        <w:rPr>
          <w:szCs w:val="21"/>
        </w:rPr>
        <w:t>.</w:t>
      </w:r>
    </w:p>
    <w:p w:rsidR="00B66396" w:rsidRPr="00F12A73" w:rsidRDefault="00B66396" w:rsidP="00B66396">
      <w:pPr>
        <w:pStyle w:val="Ttulo3"/>
        <w:spacing w:after="240"/>
        <w:jc w:val="both"/>
        <w:rPr>
          <w:b w:val="0"/>
          <w:i/>
        </w:rPr>
      </w:pPr>
      <w:bookmarkStart w:id="13" w:name="_Toc489623752"/>
      <w:r w:rsidRPr="00F12A73">
        <w:rPr>
          <w:b w:val="0"/>
          <w:i/>
        </w:rPr>
        <w:t>Motilidade espermática</w:t>
      </w:r>
      <w:bookmarkEnd w:id="12"/>
      <w:bookmarkEnd w:id="13"/>
    </w:p>
    <w:p w:rsidR="00B66396" w:rsidRPr="007C2185" w:rsidRDefault="00B66396" w:rsidP="00B66396">
      <w:pPr>
        <w:autoSpaceDE w:val="0"/>
        <w:autoSpaceDN w:val="0"/>
        <w:adjustRightInd w:val="0"/>
        <w:spacing w:after="0"/>
        <w:ind w:firstLine="708"/>
        <w:jc w:val="both"/>
        <w:rPr>
          <w:szCs w:val="21"/>
        </w:rPr>
      </w:pPr>
      <w:r w:rsidRPr="007C2185">
        <w:rPr>
          <w:szCs w:val="21"/>
        </w:rPr>
        <w:t>A moti</w:t>
      </w:r>
      <w:r>
        <w:rPr>
          <w:szCs w:val="21"/>
        </w:rPr>
        <w:t>lidade espermática foi avaliada através do sistema</w:t>
      </w:r>
      <w:r w:rsidRPr="007C2185">
        <w:rPr>
          <w:szCs w:val="21"/>
        </w:rPr>
        <w:t xml:space="preserve"> CASA, </w:t>
      </w:r>
      <w:r>
        <w:rPr>
          <w:szCs w:val="21"/>
        </w:rPr>
        <w:t>utilizando-se</w:t>
      </w:r>
      <w:r w:rsidRPr="007C2185">
        <w:rPr>
          <w:szCs w:val="21"/>
        </w:rPr>
        <w:t xml:space="preserve"> 1,0 μL de sêmen</w:t>
      </w:r>
      <w:r>
        <w:rPr>
          <w:szCs w:val="21"/>
        </w:rPr>
        <w:t xml:space="preserve">, que foi </w:t>
      </w:r>
      <w:r w:rsidRPr="007C2185">
        <w:rPr>
          <w:szCs w:val="21"/>
        </w:rPr>
        <w:t>diluído em solução ativadora de bicarbonato de sódio (NaHCO</w:t>
      </w:r>
      <w:r w:rsidRPr="007C2185">
        <w:rPr>
          <w:szCs w:val="21"/>
          <w:vertAlign w:val="subscript"/>
        </w:rPr>
        <w:t>3</w:t>
      </w:r>
      <w:r>
        <w:rPr>
          <w:szCs w:val="21"/>
        </w:rPr>
        <w:t>) a</w:t>
      </w:r>
      <w:r w:rsidRPr="007C2185">
        <w:rPr>
          <w:szCs w:val="21"/>
        </w:rPr>
        <w:t xml:space="preserve"> 1,0</w:t>
      </w:r>
      <w:r>
        <w:rPr>
          <w:szCs w:val="21"/>
        </w:rPr>
        <w:t xml:space="preserve">%. Para os machos normais, </w:t>
      </w:r>
      <w:r w:rsidRPr="007C2185">
        <w:rPr>
          <w:szCs w:val="21"/>
        </w:rPr>
        <w:t xml:space="preserve">a </w:t>
      </w:r>
      <w:r>
        <w:rPr>
          <w:szCs w:val="21"/>
        </w:rPr>
        <w:t xml:space="preserve">diluição foi de </w:t>
      </w:r>
      <w:r w:rsidRPr="007C2185">
        <w:rPr>
          <w:szCs w:val="21"/>
        </w:rPr>
        <w:t>1:1000 (sêmen/solução)</w:t>
      </w:r>
      <w:r>
        <w:rPr>
          <w:szCs w:val="21"/>
        </w:rPr>
        <w:t>, e para os neomachos foi de</w:t>
      </w:r>
      <w:r w:rsidRPr="007C2185">
        <w:rPr>
          <w:szCs w:val="21"/>
        </w:rPr>
        <w:t xml:space="preserve"> 1:2</w:t>
      </w:r>
      <w:r>
        <w:rPr>
          <w:szCs w:val="21"/>
        </w:rPr>
        <w:t>00, devido ao</w:t>
      </w:r>
      <w:r w:rsidRPr="007C2185">
        <w:rPr>
          <w:szCs w:val="21"/>
        </w:rPr>
        <w:t xml:space="preserve"> menor número </w:t>
      </w:r>
      <w:r>
        <w:rPr>
          <w:szCs w:val="21"/>
        </w:rPr>
        <w:t xml:space="preserve">aparente </w:t>
      </w:r>
      <w:r w:rsidRPr="007C2185">
        <w:rPr>
          <w:szCs w:val="21"/>
        </w:rPr>
        <w:t>de células</w:t>
      </w:r>
      <w:r>
        <w:rPr>
          <w:szCs w:val="21"/>
        </w:rPr>
        <w:t>.</w:t>
      </w:r>
    </w:p>
    <w:p w:rsidR="00B66396" w:rsidRPr="007C2185" w:rsidRDefault="00B66396" w:rsidP="00B66396">
      <w:pPr>
        <w:autoSpaceDE w:val="0"/>
        <w:autoSpaceDN w:val="0"/>
        <w:adjustRightInd w:val="0"/>
        <w:spacing w:after="0"/>
        <w:ind w:firstLine="708"/>
        <w:jc w:val="both"/>
        <w:rPr>
          <w:szCs w:val="21"/>
        </w:rPr>
      </w:pPr>
      <w:r w:rsidRPr="007C2185">
        <w:rPr>
          <w:szCs w:val="21"/>
        </w:rPr>
        <w:t>Na sequência, 10 μL</w:t>
      </w:r>
      <w:r>
        <w:rPr>
          <w:szCs w:val="21"/>
        </w:rPr>
        <w:t xml:space="preserve"> do sêmen diluído</w:t>
      </w:r>
      <w:r w:rsidRPr="007C2185">
        <w:rPr>
          <w:szCs w:val="21"/>
        </w:rPr>
        <w:t xml:space="preserve"> foram colocados em câmera de Neubauer e a motilidade foi gravada em vídeos com duração de 60 s, </w:t>
      </w:r>
      <w:r>
        <w:rPr>
          <w:szCs w:val="21"/>
        </w:rPr>
        <w:t xml:space="preserve">a uma </w:t>
      </w:r>
      <w:r w:rsidRPr="007C2185">
        <w:rPr>
          <w:szCs w:val="21"/>
        </w:rPr>
        <w:t xml:space="preserve">taxa de 100 </w:t>
      </w:r>
      <w:r>
        <w:rPr>
          <w:szCs w:val="21"/>
        </w:rPr>
        <w:t>quadros,</w:t>
      </w:r>
      <w:r w:rsidRPr="007C2185">
        <w:rPr>
          <w:szCs w:val="21"/>
        </w:rPr>
        <w:t xml:space="preserve"> </w:t>
      </w:r>
      <w:r>
        <w:rPr>
          <w:szCs w:val="21"/>
        </w:rPr>
        <w:t xml:space="preserve">utilizando-se </w:t>
      </w:r>
      <w:r w:rsidRPr="007C2185">
        <w:rPr>
          <w:szCs w:val="21"/>
        </w:rPr>
        <w:t>um microscópio de luz (objetiva de 400X)</w:t>
      </w:r>
      <w:r>
        <w:rPr>
          <w:szCs w:val="21"/>
        </w:rPr>
        <w:t>,</w:t>
      </w:r>
      <w:r w:rsidRPr="007C2185">
        <w:rPr>
          <w:szCs w:val="21"/>
        </w:rPr>
        <w:t xml:space="preserve"> </w:t>
      </w:r>
      <w:r>
        <w:rPr>
          <w:szCs w:val="21"/>
        </w:rPr>
        <w:t>ao qual acoplou-se</w:t>
      </w:r>
      <w:r w:rsidRPr="007C2185">
        <w:rPr>
          <w:szCs w:val="21"/>
        </w:rPr>
        <w:t xml:space="preserve"> a uma câmera CCD com objetiva de contrataste de fases </w:t>
      </w:r>
      <w:r>
        <w:rPr>
          <w:szCs w:val="21"/>
        </w:rPr>
        <w:t xml:space="preserve">ligada a </w:t>
      </w:r>
      <w:r w:rsidRPr="007C2185">
        <w:rPr>
          <w:szCs w:val="21"/>
        </w:rPr>
        <w:t xml:space="preserve">um microcomputador. </w:t>
      </w:r>
    </w:p>
    <w:p w:rsidR="00B66396" w:rsidRDefault="00B66396" w:rsidP="00B66396">
      <w:pPr>
        <w:autoSpaceDE w:val="0"/>
        <w:autoSpaceDN w:val="0"/>
        <w:adjustRightInd w:val="0"/>
        <w:spacing w:after="0"/>
        <w:ind w:firstLine="708"/>
        <w:jc w:val="both"/>
        <w:rPr>
          <w:szCs w:val="21"/>
        </w:rPr>
      </w:pPr>
      <w:r w:rsidRPr="007C2185">
        <w:rPr>
          <w:szCs w:val="21"/>
        </w:rPr>
        <w:t>A gravação, a compilação das imagens e a análise dos vídeos produzidos no CASA utilizando o software Image J seguiu o protocolo proposto por Kime</w:t>
      </w:r>
      <w:r>
        <w:rPr>
          <w:szCs w:val="21"/>
        </w:rPr>
        <w:t xml:space="preserve"> et al. (2001), já</w:t>
      </w:r>
      <w:r w:rsidRPr="00521A7F">
        <w:rPr>
          <w:szCs w:val="21"/>
        </w:rPr>
        <w:t xml:space="preserve"> validado para</w:t>
      </w:r>
      <w:r>
        <w:rPr>
          <w:szCs w:val="21"/>
        </w:rPr>
        <w:t xml:space="preserve"> </w:t>
      </w:r>
      <w:r w:rsidRPr="00C721A2">
        <w:rPr>
          <w:i/>
          <w:szCs w:val="21"/>
        </w:rPr>
        <w:t>R</w:t>
      </w:r>
      <w:r w:rsidRPr="001B41FC">
        <w:rPr>
          <w:i/>
          <w:szCs w:val="21"/>
        </w:rPr>
        <w:t>. quelen</w:t>
      </w:r>
      <w:r w:rsidRPr="001B41FC">
        <w:rPr>
          <w:szCs w:val="21"/>
        </w:rPr>
        <w:t xml:space="preserve"> por Sanches et al. (2010</w:t>
      </w:r>
      <w:r>
        <w:rPr>
          <w:szCs w:val="21"/>
        </w:rPr>
        <w:t>a</w:t>
      </w:r>
      <w:r w:rsidRPr="001B41FC">
        <w:rPr>
          <w:szCs w:val="21"/>
        </w:rPr>
        <w:t>).</w:t>
      </w:r>
      <w:r>
        <w:rPr>
          <w:szCs w:val="21"/>
        </w:rPr>
        <w:t xml:space="preserve"> </w:t>
      </w:r>
    </w:p>
    <w:p w:rsidR="00B66396" w:rsidRDefault="00B66396" w:rsidP="00B66396">
      <w:pPr>
        <w:autoSpaceDE w:val="0"/>
        <w:autoSpaceDN w:val="0"/>
        <w:adjustRightInd w:val="0"/>
        <w:spacing w:after="0"/>
        <w:ind w:firstLine="708"/>
        <w:jc w:val="both"/>
        <w:rPr>
          <w:szCs w:val="21"/>
        </w:rPr>
      </w:pPr>
      <w:r w:rsidRPr="00521A7F">
        <w:rPr>
          <w:szCs w:val="21"/>
        </w:rPr>
        <w:t xml:space="preserve">As variáveis avaliadas </w:t>
      </w:r>
      <w:r>
        <w:rPr>
          <w:szCs w:val="21"/>
        </w:rPr>
        <w:t xml:space="preserve">foram </w:t>
      </w:r>
      <w:r w:rsidRPr="00521A7F">
        <w:rPr>
          <w:szCs w:val="21"/>
        </w:rPr>
        <w:t>o percentual de motilidade</w:t>
      </w:r>
      <w:r>
        <w:rPr>
          <w:szCs w:val="21"/>
        </w:rPr>
        <w:t xml:space="preserve"> (%),</w:t>
      </w:r>
      <w:r w:rsidRPr="00521A7F">
        <w:rPr>
          <w:szCs w:val="21"/>
        </w:rPr>
        <w:t xml:space="preserve"> </w:t>
      </w:r>
      <w:r>
        <w:rPr>
          <w:szCs w:val="21"/>
        </w:rPr>
        <w:t xml:space="preserve">a </w:t>
      </w:r>
      <w:r w:rsidRPr="00521A7F">
        <w:rPr>
          <w:szCs w:val="21"/>
        </w:rPr>
        <w:t>velocidade curvilinear</w:t>
      </w:r>
      <w:r>
        <w:rPr>
          <w:szCs w:val="21"/>
        </w:rPr>
        <w:t xml:space="preserve"> (VCL), a </w:t>
      </w:r>
      <w:r w:rsidRPr="00521A7F">
        <w:rPr>
          <w:szCs w:val="21"/>
        </w:rPr>
        <w:t>velocidade média de deslocamento</w:t>
      </w:r>
      <w:r>
        <w:rPr>
          <w:szCs w:val="21"/>
        </w:rPr>
        <w:t xml:space="preserve"> (VAP), a </w:t>
      </w:r>
      <w:r w:rsidRPr="00521A7F">
        <w:rPr>
          <w:szCs w:val="21"/>
        </w:rPr>
        <w:t>velocidade em linha reta</w:t>
      </w:r>
      <w:r>
        <w:rPr>
          <w:szCs w:val="21"/>
        </w:rPr>
        <w:t xml:space="preserve"> (VSL) e a Linearidade (LIN) no tempo de 10 s, sendo o procedimento </w:t>
      </w:r>
      <w:r w:rsidRPr="00521A7F">
        <w:rPr>
          <w:szCs w:val="21"/>
        </w:rPr>
        <w:t>reali</w:t>
      </w:r>
      <w:r>
        <w:rPr>
          <w:szCs w:val="21"/>
        </w:rPr>
        <w:t>zado em triplicata para cada amostra de sêmen de neomachos e de machos.</w:t>
      </w:r>
    </w:p>
    <w:p w:rsidR="00B66396" w:rsidRPr="00F12A73" w:rsidRDefault="00B66396" w:rsidP="00B66396">
      <w:pPr>
        <w:pStyle w:val="Ttulo3"/>
        <w:spacing w:after="240"/>
        <w:jc w:val="both"/>
        <w:rPr>
          <w:b w:val="0"/>
          <w:i/>
        </w:rPr>
      </w:pPr>
      <w:bookmarkStart w:id="14" w:name="_Toc488692781"/>
      <w:bookmarkStart w:id="15" w:name="_Toc489623753"/>
      <w:r w:rsidRPr="00F12A73">
        <w:rPr>
          <w:b w:val="0"/>
          <w:i/>
        </w:rPr>
        <w:t>Integridade da membrana</w:t>
      </w:r>
      <w:bookmarkEnd w:id="14"/>
      <w:bookmarkEnd w:id="15"/>
    </w:p>
    <w:p w:rsidR="00B66396" w:rsidRPr="007C2185" w:rsidRDefault="00B66396" w:rsidP="00B66396">
      <w:pPr>
        <w:autoSpaceDE w:val="0"/>
        <w:autoSpaceDN w:val="0"/>
        <w:adjustRightInd w:val="0"/>
        <w:spacing w:after="0"/>
        <w:ind w:firstLine="709"/>
        <w:jc w:val="both"/>
        <w:rPr>
          <w:szCs w:val="21"/>
        </w:rPr>
      </w:pPr>
      <w:r w:rsidRPr="007C2185">
        <w:rPr>
          <w:szCs w:val="21"/>
        </w:rPr>
        <w:t xml:space="preserve">O percentual de espermatozoides com membrana celular íntegra foi quantificado pelo método de coloração eosina/nigrosina (3,0% e 5,0%, respectivamente). </w:t>
      </w:r>
    </w:p>
    <w:p w:rsidR="00B66396" w:rsidRPr="007C2185" w:rsidRDefault="00B66396" w:rsidP="00B66396">
      <w:pPr>
        <w:autoSpaceDE w:val="0"/>
        <w:autoSpaceDN w:val="0"/>
        <w:adjustRightInd w:val="0"/>
        <w:spacing w:after="0"/>
        <w:ind w:firstLine="709"/>
        <w:jc w:val="both"/>
        <w:rPr>
          <w:szCs w:val="21"/>
        </w:rPr>
      </w:pPr>
      <w:r w:rsidRPr="007C2185">
        <w:rPr>
          <w:szCs w:val="21"/>
        </w:rPr>
        <w:lastRenderedPageBreak/>
        <w:t xml:space="preserve">Uma alíquota de 10 μL de sêmen foi corada com 50 μL de nigrosina e 30 μL de eosina e em seguida foi realizado um esfregaço com uma alíquota de 1,0 μL da mistura. O procedimento foi similar ao realizado por </w:t>
      </w:r>
      <w:r>
        <w:rPr>
          <w:szCs w:val="21"/>
        </w:rPr>
        <w:t>SANCHES et al. (2011b) tendo sido alteradas</w:t>
      </w:r>
      <w:r w:rsidRPr="007C2185">
        <w:rPr>
          <w:szCs w:val="21"/>
        </w:rPr>
        <w:t xml:space="preserve"> apenas as dosagens de sêmen (30 μL), dos corantes (90 μL) e do esfregaço (10 μL).</w:t>
      </w:r>
    </w:p>
    <w:p w:rsidR="00B66396" w:rsidRPr="007C2185" w:rsidRDefault="00B66396" w:rsidP="00B66396">
      <w:pPr>
        <w:autoSpaceDE w:val="0"/>
        <w:autoSpaceDN w:val="0"/>
        <w:adjustRightInd w:val="0"/>
        <w:spacing w:after="0"/>
        <w:ind w:firstLine="708"/>
        <w:jc w:val="both"/>
        <w:rPr>
          <w:szCs w:val="21"/>
        </w:rPr>
      </w:pPr>
      <w:r w:rsidRPr="007C2185">
        <w:rPr>
          <w:szCs w:val="21"/>
        </w:rPr>
        <w:t>Em microscópio de luz (Leica DMLB, 100 X), foram contados 200 espermatozoides, para os quais foram considerados como não íntegros aqueles cujas células apresentaram coloração rosada</w:t>
      </w:r>
      <w:r>
        <w:rPr>
          <w:szCs w:val="21"/>
        </w:rPr>
        <w:t xml:space="preserve">, ou seja, que absorveram </w:t>
      </w:r>
      <w:r w:rsidRPr="007C2185">
        <w:rPr>
          <w:szCs w:val="21"/>
        </w:rPr>
        <w:t>os corantes</w:t>
      </w:r>
      <w:r>
        <w:rPr>
          <w:szCs w:val="21"/>
        </w:rPr>
        <w:t>,</w:t>
      </w:r>
      <w:r w:rsidRPr="007C2185">
        <w:rPr>
          <w:szCs w:val="21"/>
        </w:rPr>
        <w:t xml:space="preserve"> e como íntegros os que apresentaram células não coradas</w:t>
      </w:r>
      <w:r>
        <w:rPr>
          <w:szCs w:val="21"/>
        </w:rPr>
        <w:t xml:space="preserve">, cujas </w:t>
      </w:r>
      <w:r w:rsidRPr="007C2185">
        <w:rPr>
          <w:szCs w:val="21"/>
        </w:rPr>
        <w:t xml:space="preserve">membranas íntegras </w:t>
      </w:r>
      <w:r>
        <w:rPr>
          <w:szCs w:val="21"/>
        </w:rPr>
        <w:t>impediam a penetração dos</w:t>
      </w:r>
      <w:r w:rsidRPr="007C2185">
        <w:rPr>
          <w:szCs w:val="21"/>
        </w:rPr>
        <w:t xml:space="preserve"> c</w:t>
      </w:r>
      <w:r w:rsidR="00C06499">
        <w:rPr>
          <w:szCs w:val="21"/>
        </w:rPr>
        <w:t>orantes.</w:t>
      </w:r>
    </w:p>
    <w:p w:rsidR="00B66396" w:rsidRPr="00F12A73" w:rsidRDefault="00B66396" w:rsidP="00B66396">
      <w:pPr>
        <w:pStyle w:val="Ttulo3"/>
        <w:spacing w:after="240"/>
        <w:jc w:val="both"/>
        <w:rPr>
          <w:b w:val="0"/>
          <w:i/>
        </w:rPr>
      </w:pPr>
      <w:bookmarkStart w:id="16" w:name="_Toc488692785"/>
      <w:bookmarkStart w:id="17" w:name="_Toc489623754"/>
      <w:r w:rsidRPr="00F12A73">
        <w:rPr>
          <w:b w:val="0"/>
          <w:i/>
        </w:rPr>
        <w:t>Taxa de fertilização</w:t>
      </w:r>
      <w:bookmarkEnd w:id="16"/>
      <w:bookmarkEnd w:id="17"/>
    </w:p>
    <w:p w:rsidR="00B66396" w:rsidRDefault="00B66396" w:rsidP="00B66396">
      <w:pPr>
        <w:spacing w:after="0"/>
        <w:ind w:firstLine="709"/>
        <w:jc w:val="both"/>
        <w:rPr>
          <w:szCs w:val="21"/>
        </w:rPr>
      </w:pPr>
      <w:r w:rsidRPr="007C2185">
        <w:rPr>
          <w:szCs w:val="21"/>
        </w:rPr>
        <w:t xml:space="preserve">Em setembro de 2016, </w:t>
      </w:r>
      <w:r>
        <w:rPr>
          <w:szCs w:val="21"/>
        </w:rPr>
        <w:t xml:space="preserve">para cada sêmen de neomachos e de machos genotípicos foram utilizados 2,0 g de ovócitos de uma fêmea (830 g) de </w:t>
      </w:r>
      <w:r w:rsidRPr="00824593">
        <w:rPr>
          <w:i/>
          <w:szCs w:val="21"/>
        </w:rPr>
        <w:t>R. quelen</w:t>
      </w:r>
      <w:r>
        <w:rPr>
          <w:szCs w:val="21"/>
        </w:rPr>
        <w:t xml:space="preserve">, cujo os ovócitos, após coleta manual foram fertilizados por </w:t>
      </w:r>
      <w:r w:rsidR="00973699">
        <w:rPr>
          <w:szCs w:val="21"/>
        </w:rPr>
        <w:t>uma alíquota de 5</w:t>
      </w:r>
      <w:r w:rsidRPr="007C2185">
        <w:rPr>
          <w:szCs w:val="21"/>
        </w:rPr>
        <w:t xml:space="preserve">0 μL de </w:t>
      </w:r>
      <w:r>
        <w:rPr>
          <w:szCs w:val="21"/>
        </w:rPr>
        <w:t xml:space="preserve">sêmen proveniente de cada reprodutor. </w:t>
      </w:r>
    </w:p>
    <w:p w:rsidR="00B66396" w:rsidRPr="007C2185" w:rsidRDefault="00B66396" w:rsidP="00B66396">
      <w:pPr>
        <w:spacing w:after="0"/>
        <w:ind w:firstLine="709"/>
        <w:jc w:val="both"/>
        <w:rPr>
          <w:szCs w:val="21"/>
        </w:rPr>
      </w:pPr>
      <w:r w:rsidRPr="007C2185">
        <w:rPr>
          <w:szCs w:val="21"/>
        </w:rPr>
        <w:t xml:space="preserve">O procedimento de fertilização foi realizado em triplicata com o sêmen </w:t>
      </w:r>
      <w:r>
        <w:rPr>
          <w:szCs w:val="21"/>
        </w:rPr>
        <w:t xml:space="preserve">individual </w:t>
      </w:r>
      <w:r w:rsidRPr="007C2185">
        <w:rPr>
          <w:szCs w:val="21"/>
        </w:rPr>
        <w:t>de cada animal e os ovos</w:t>
      </w:r>
      <w:r>
        <w:rPr>
          <w:szCs w:val="21"/>
        </w:rPr>
        <w:t>,</w:t>
      </w:r>
      <w:r w:rsidRPr="007C2185">
        <w:rPr>
          <w:szCs w:val="21"/>
        </w:rPr>
        <w:t xml:space="preserve"> após a fertilização, foram distribuídos em incubadoras cilíndrico-cônicas de 10 L abast</w:t>
      </w:r>
      <w:r>
        <w:rPr>
          <w:szCs w:val="21"/>
        </w:rPr>
        <w:t>ecidas por um sistema</w:t>
      </w:r>
      <w:r w:rsidRPr="007C2185">
        <w:rPr>
          <w:szCs w:val="21"/>
        </w:rPr>
        <w:t xml:space="preserve"> de recirculação de água com temperatura de 25 </w:t>
      </w:r>
      <w:r w:rsidRPr="007C2185">
        <w:rPr>
          <w:szCs w:val="21"/>
          <w:vertAlign w:val="superscript"/>
        </w:rPr>
        <w:t>o</w:t>
      </w:r>
      <w:r w:rsidRPr="007C2185">
        <w:rPr>
          <w:szCs w:val="21"/>
        </w:rPr>
        <w:t xml:space="preserve">C. </w:t>
      </w:r>
    </w:p>
    <w:p w:rsidR="00B66396" w:rsidRDefault="00B66396" w:rsidP="00B66396">
      <w:pPr>
        <w:autoSpaceDE w:val="0"/>
        <w:autoSpaceDN w:val="0"/>
        <w:adjustRightInd w:val="0"/>
        <w:spacing w:after="0"/>
        <w:ind w:firstLine="709"/>
        <w:jc w:val="both"/>
        <w:rPr>
          <w:szCs w:val="21"/>
        </w:rPr>
      </w:pPr>
      <w:r>
        <w:rPr>
          <w:szCs w:val="21"/>
        </w:rPr>
        <w:t xml:space="preserve">A taxa de fertilização dos cruzamentos envolvendo neomachos e os machos, </w:t>
      </w:r>
      <w:r w:rsidRPr="007C2185">
        <w:rPr>
          <w:szCs w:val="21"/>
        </w:rPr>
        <w:t>nos meses de setembro e abril</w:t>
      </w:r>
      <w:r>
        <w:rPr>
          <w:szCs w:val="21"/>
        </w:rPr>
        <w:t>, foi</w:t>
      </w:r>
      <w:r w:rsidRPr="007C2185">
        <w:rPr>
          <w:szCs w:val="21"/>
        </w:rPr>
        <w:t xml:space="preserve"> quantificada dez horas após a fecundação, através da amostragem de 260 ovos </w:t>
      </w:r>
      <w:r>
        <w:rPr>
          <w:szCs w:val="21"/>
        </w:rPr>
        <w:t xml:space="preserve">de cada incubadora que foram observados </w:t>
      </w:r>
      <w:r w:rsidRPr="007C2185">
        <w:rPr>
          <w:szCs w:val="21"/>
        </w:rPr>
        <w:t xml:space="preserve">em microscópio de luz </w:t>
      </w:r>
      <w:r>
        <w:rPr>
          <w:szCs w:val="21"/>
        </w:rPr>
        <w:t>(ZANIBONI-FILHO, 1992</w:t>
      </w:r>
      <w:r w:rsidRPr="007C2185">
        <w:rPr>
          <w:szCs w:val="21"/>
        </w:rPr>
        <w:t>), considerando-se como viáveis, os ovos em estágio de fechamento do blastóporo</w:t>
      </w:r>
      <w:r w:rsidR="006D6CFE">
        <w:rPr>
          <w:szCs w:val="21"/>
        </w:rPr>
        <w:t xml:space="preserve"> completo</w:t>
      </w:r>
      <w:r w:rsidRPr="007C2185">
        <w:rPr>
          <w:szCs w:val="21"/>
        </w:rPr>
        <w:t xml:space="preserve">. </w:t>
      </w:r>
    </w:p>
    <w:p w:rsidR="00B66396" w:rsidRPr="00F12A73" w:rsidRDefault="00B66396" w:rsidP="00B66396">
      <w:pPr>
        <w:pStyle w:val="Ttulo3"/>
        <w:spacing w:after="240"/>
        <w:jc w:val="both"/>
        <w:rPr>
          <w:b w:val="0"/>
          <w:i/>
        </w:rPr>
      </w:pPr>
      <w:bookmarkStart w:id="18" w:name="_Toc488692786"/>
      <w:bookmarkStart w:id="19" w:name="_Toc489623755"/>
      <w:r w:rsidRPr="00F12A73">
        <w:rPr>
          <w:b w:val="0"/>
          <w:i/>
        </w:rPr>
        <w:t>Análise Estatística</w:t>
      </w:r>
      <w:bookmarkEnd w:id="18"/>
      <w:bookmarkEnd w:id="19"/>
    </w:p>
    <w:p w:rsidR="00B66396" w:rsidRPr="007C2185" w:rsidRDefault="00B66396" w:rsidP="00B66396">
      <w:pPr>
        <w:autoSpaceDE w:val="0"/>
        <w:autoSpaceDN w:val="0"/>
        <w:adjustRightInd w:val="0"/>
        <w:spacing w:after="0"/>
        <w:ind w:firstLine="709"/>
        <w:jc w:val="both"/>
        <w:rPr>
          <w:szCs w:val="21"/>
        </w:rPr>
      </w:pPr>
      <w:r>
        <w:rPr>
          <w:szCs w:val="21"/>
        </w:rPr>
        <w:t>As variáveis espermáticas foram analisadas pelo teste de Mann-Whitney, aplicado para comparação</w:t>
      </w:r>
      <w:r w:rsidRPr="007C2185">
        <w:rPr>
          <w:szCs w:val="21"/>
        </w:rPr>
        <w:t xml:space="preserve"> </w:t>
      </w:r>
      <w:r>
        <w:rPr>
          <w:szCs w:val="21"/>
        </w:rPr>
        <w:t>de</w:t>
      </w:r>
      <w:r w:rsidRPr="007C2185">
        <w:rPr>
          <w:szCs w:val="21"/>
        </w:rPr>
        <w:t xml:space="preserve"> neomachos e machos</w:t>
      </w:r>
      <w:r>
        <w:rPr>
          <w:szCs w:val="21"/>
        </w:rPr>
        <w:t xml:space="preserve"> </w:t>
      </w:r>
      <w:r>
        <w:rPr>
          <w:noProof/>
          <w:szCs w:val="21"/>
        </w:rPr>
        <w:t>genotípicos</w:t>
      </w:r>
      <w:r>
        <w:rPr>
          <w:szCs w:val="21"/>
        </w:rPr>
        <w:t xml:space="preserve"> de </w:t>
      </w:r>
      <w:r w:rsidRPr="008B67D6">
        <w:rPr>
          <w:i/>
          <w:szCs w:val="21"/>
        </w:rPr>
        <w:t>R. quelen</w:t>
      </w:r>
      <w:r>
        <w:rPr>
          <w:szCs w:val="21"/>
        </w:rPr>
        <w:t xml:space="preserve">. </w:t>
      </w:r>
      <w:r w:rsidRPr="007C2185">
        <w:rPr>
          <w:szCs w:val="21"/>
        </w:rPr>
        <w:t xml:space="preserve">Os dados referentes aos parâmetros espermáticos foram inicialmente submetidos ao teste de Shapiro-Wilk para verificação da </w:t>
      </w:r>
      <w:r w:rsidR="00973699">
        <w:rPr>
          <w:szCs w:val="21"/>
        </w:rPr>
        <w:t>normalidade</w:t>
      </w:r>
      <w:r w:rsidRPr="007C2185">
        <w:rPr>
          <w:szCs w:val="21"/>
        </w:rPr>
        <w:t xml:space="preserve">. </w:t>
      </w:r>
    </w:p>
    <w:p w:rsidR="005E387D" w:rsidRDefault="005E387D" w:rsidP="00D66241">
      <w:pPr>
        <w:spacing w:after="0" w:line="240" w:lineRule="auto"/>
        <w:ind w:firstLine="539"/>
        <w:jc w:val="both"/>
        <w:rPr>
          <w:color w:val="000000"/>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rsidR="00C86FAA" w:rsidRPr="00C86FAA" w:rsidRDefault="00C86FAA" w:rsidP="00D66241">
      <w:pPr>
        <w:spacing w:after="0" w:line="240" w:lineRule="auto"/>
        <w:ind w:firstLine="539"/>
        <w:jc w:val="both"/>
        <w:rPr>
          <w:color w:val="000000"/>
          <w:szCs w:val="24"/>
        </w:rPr>
      </w:pPr>
    </w:p>
    <w:p w:rsidR="00AD413C" w:rsidRDefault="007778A9" w:rsidP="00AD413C">
      <w:pPr>
        <w:spacing w:after="0"/>
        <w:ind w:firstLine="709"/>
        <w:jc w:val="both"/>
        <w:rPr>
          <w:color w:val="000000"/>
          <w:szCs w:val="21"/>
        </w:rPr>
      </w:pPr>
      <w:r>
        <w:rPr>
          <w:color w:val="000000"/>
          <w:szCs w:val="21"/>
        </w:rPr>
        <w:t xml:space="preserve">O peso corporal dos animais, o volume seminal obtido e a produção relativa de sêmen produzido por neomachos e machos </w:t>
      </w:r>
      <w:r>
        <w:rPr>
          <w:noProof/>
          <w:szCs w:val="21"/>
        </w:rPr>
        <w:t>genotípicos</w:t>
      </w:r>
      <w:r>
        <w:rPr>
          <w:color w:val="000000"/>
          <w:szCs w:val="21"/>
        </w:rPr>
        <w:t xml:space="preserve"> de </w:t>
      </w:r>
      <w:r w:rsidRPr="00F07906">
        <w:rPr>
          <w:i/>
          <w:color w:val="000000"/>
          <w:szCs w:val="21"/>
        </w:rPr>
        <w:t>R. quelen</w:t>
      </w:r>
      <w:r>
        <w:rPr>
          <w:color w:val="000000"/>
          <w:szCs w:val="21"/>
        </w:rPr>
        <w:t xml:space="preserve"> nas três coletas realizadas estão apresentados na Tabela 1. </w:t>
      </w:r>
    </w:p>
    <w:p w:rsidR="007778A9" w:rsidRDefault="007778A9" w:rsidP="00AD413C">
      <w:pPr>
        <w:spacing w:after="0"/>
        <w:ind w:firstLine="709"/>
        <w:jc w:val="both"/>
        <w:rPr>
          <w:color w:val="000000"/>
          <w:szCs w:val="21"/>
        </w:rPr>
      </w:pPr>
      <w:r>
        <w:rPr>
          <w:color w:val="000000"/>
          <w:szCs w:val="21"/>
        </w:rPr>
        <w:t xml:space="preserve">O volume de sêmen produzido por neomachos em setembro/2016 não apresentou diferença em relação ao volume produzido por machos </w:t>
      </w:r>
      <w:r>
        <w:rPr>
          <w:noProof/>
          <w:szCs w:val="21"/>
        </w:rPr>
        <w:t>genotípicos</w:t>
      </w:r>
      <w:r>
        <w:rPr>
          <w:color w:val="000000"/>
          <w:szCs w:val="21"/>
        </w:rPr>
        <w:t xml:space="preserve"> (p &gt;</w:t>
      </w:r>
      <w:bookmarkStart w:id="20" w:name="_Toc488703170"/>
      <w:r>
        <w:rPr>
          <w:color w:val="000000"/>
          <w:szCs w:val="21"/>
        </w:rPr>
        <w:t xml:space="preserve"> 0,05), mas a amplitude mostra uma variação no volume liberado de sêmen nos neomachos em relação aos machos. A produção de sêmen em relação ao peso dos animais fo</w:t>
      </w:r>
      <w:r w:rsidR="00C7456E">
        <w:rPr>
          <w:color w:val="000000"/>
          <w:szCs w:val="21"/>
        </w:rPr>
        <w:t>i superior em machos em set/2016</w:t>
      </w:r>
      <w:r>
        <w:rPr>
          <w:color w:val="000000"/>
          <w:szCs w:val="21"/>
        </w:rPr>
        <w:t>.</w:t>
      </w:r>
    </w:p>
    <w:p w:rsidR="00C7456E" w:rsidRDefault="00C7456E" w:rsidP="00C7456E">
      <w:pPr>
        <w:spacing w:after="0"/>
        <w:ind w:firstLine="709"/>
        <w:jc w:val="both"/>
        <w:rPr>
          <w:noProof/>
          <w:szCs w:val="21"/>
        </w:rPr>
      </w:pPr>
      <w:r>
        <w:rPr>
          <w:noProof/>
          <w:szCs w:val="21"/>
        </w:rPr>
        <w:t xml:space="preserve">De acordo com Viveiros e Godinho (2009), o volume de sêmen é muito variável em peixes teleósteos, e pode ser alterado de acordo com o peso do indivíduo, da época e da metodologia de coleta. </w:t>
      </w:r>
    </w:p>
    <w:p w:rsidR="00C7456E" w:rsidRDefault="00C7456E" w:rsidP="00C7456E">
      <w:pPr>
        <w:spacing w:after="0"/>
        <w:ind w:firstLine="709"/>
        <w:jc w:val="both"/>
        <w:rPr>
          <w:szCs w:val="21"/>
        </w:rPr>
      </w:pPr>
      <w:r>
        <w:rPr>
          <w:szCs w:val="21"/>
        </w:rPr>
        <w:t xml:space="preserve">O volume de sêmen relativo ao peso dos animais produzido por neomachos e machos </w:t>
      </w:r>
      <w:r>
        <w:rPr>
          <w:noProof/>
          <w:szCs w:val="21"/>
        </w:rPr>
        <w:t>genotípicos</w:t>
      </w:r>
      <w:r>
        <w:rPr>
          <w:szCs w:val="21"/>
        </w:rPr>
        <w:t xml:space="preserve">, foi inferior ao registrado para </w:t>
      </w:r>
      <w:r w:rsidRPr="001C7A7F">
        <w:rPr>
          <w:i/>
          <w:szCs w:val="21"/>
        </w:rPr>
        <w:t>R. quelen</w:t>
      </w:r>
      <w:r>
        <w:rPr>
          <w:szCs w:val="21"/>
        </w:rPr>
        <w:t xml:space="preserve"> (0,036 ± 0,008 mL/g) por Bombardelli et al. (2006).</w:t>
      </w:r>
    </w:p>
    <w:p w:rsidR="00C7456E" w:rsidRDefault="00C7456E" w:rsidP="00FC052F">
      <w:pPr>
        <w:spacing w:before="240" w:after="240"/>
        <w:jc w:val="both"/>
        <w:rPr>
          <w:b/>
          <w:sz w:val="19"/>
          <w:szCs w:val="19"/>
        </w:rPr>
      </w:pPr>
    </w:p>
    <w:p w:rsidR="007778A9" w:rsidRDefault="00C7456E" w:rsidP="00FC052F">
      <w:pPr>
        <w:spacing w:before="240" w:after="240"/>
        <w:jc w:val="both"/>
        <w:rPr>
          <w:color w:val="000000"/>
          <w:sz w:val="19"/>
          <w:szCs w:val="19"/>
        </w:rPr>
      </w:pPr>
      <w:r>
        <w:rPr>
          <w:b/>
          <w:sz w:val="19"/>
          <w:szCs w:val="19"/>
        </w:rPr>
        <w:lastRenderedPageBreak/>
        <w:t>T</w:t>
      </w:r>
      <w:r w:rsidR="007778A9" w:rsidRPr="00D935BA">
        <w:rPr>
          <w:b/>
          <w:sz w:val="19"/>
          <w:szCs w:val="19"/>
        </w:rPr>
        <w:t>abela 1.</w:t>
      </w:r>
      <w:r w:rsidR="007778A9" w:rsidRPr="00D935BA">
        <w:rPr>
          <w:sz w:val="19"/>
          <w:szCs w:val="19"/>
        </w:rPr>
        <w:t xml:space="preserve"> Peso corporal</w:t>
      </w:r>
      <w:r w:rsidR="007778A9">
        <w:rPr>
          <w:sz w:val="19"/>
          <w:szCs w:val="19"/>
        </w:rPr>
        <w:t xml:space="preserve"> (g)</w:t>
      </w:r>
      <w:r w:rsidR="007778A9" w:rsidRPr="00D935BA">
        <w:rPr>
          <w:sz w:val="19"/>
          <w:szCs w:val="19"/>
        </w:rPr>
        <w:t xml:space="preserve">, volume </w:t>
      </w:r>
      <w:r w:rsidR="007778A9">
        <w:rPr>
          <w:sz w:val="19"/>
          <w:szCs w:val="19"/>
        </w:rPr>
        <w:t xml:space="preserve">(mL) </w:t>
      </w:r>
      <w:r w:rsidR="007778A9" w:rsidRPr="00D935BA">
        <w:rPr>
          <w:sz w:val="19"/>
          <w:szCs w:val="19"/>
        </w:rPr>
        <w:t>e produção relativa de sêmen</w:t>
      </w:r>
      <w:r w:rsidR="007778A9">
        <w:rPr>
          <w:sz w:val="19"/>
          <w:szCs w:val="19"/>
        </w:rPr>
        <w:t xml:space="preserve"> (mL/g)</w:t>
      </w:r>
      <w:r w:rsidR="007778A9" w:rsidRPr="00D935BA">
        <w:rPr>
          <w:sz w:val="19"/>
          <w:szCs w:val="19"/>
        </w:rPr>
        <w:t xml:space="preserve"> (média </w:t>
      </w:r>
      <w:r w:rsidR="007778A9" w:rsidRPr="00D935BA">
        <w:rPr>
          <w:color w:val="000000"/>
          <w:sz w:val="19"/>
          <w:szCs w:val="19"/>
        </w:rPr>
        <w:t>± desvio padrão)</w:t>
      </w:r>
      <w:r w:rsidR="007778A9" w:rsidRPr="00D935BA">
        <w:rPr>
          <w:sz w:val="19"/>
          <w:szCs w:val="19"/>
        </w:rPr>
        <w:t xml:space="preserve"> de neomachos e machos</w:t>
      </w:r>
      <w:r w:rsidR="007778A9">
        <w:rPr>
          <w:sz w:val="19"/>
          <w:szCs w:val="19"/>
        </w:rPr>
        <w:t xml:space="preserve"> </w:t>
      </w:r>
      <w:r w:rsidR="007778A9" w:rsidRPr="00365B7A">
        <w:rPr>
          <w:noProof/>
          <w:sz w:val="19"/>
          <w:szCs w:val="19"/>
        </w:rPr>
        <w:t>genotípicos</w:t>
      </w:r>
      <w:r w:rsidR="007778A9" w:rsidRPr="00D935BA">
        <w:rPr>
          <w:sz w:val="19"/>
          <w:szCs w:val="19"/>
        </w:rPr>
        <w:t xml:space="preserve"> de </w:t>
      </w:r>
      <w:r w:rsidR="007778A9" w:rsidRPr="00D935BA">
        <w:rPr>
          <w:i/>
          <w:sz w:val="19"/>
          <w:szCs w:val="19"/>
        </w:rPr>
        <w:t>Rhamdia quelen</w:t>
      </w:r>
      <w:bookmarkEnd w:id="20"/>
      <w:r w:rsidR="007778A9" w:rsidRPr="00D935BA">
        <w:rPr>
          <w:sz w:val="19"/>
          <w:szCs w:val="19"/>
        </w:rPr>
        <w:t>.</w:t>
      </w:r>
      <w:r w:rsidR="007778A9">
        <w:rPr>
          <w:sz w:val="19"/>
          <w:szCs w:val="19"/>
        </w:rPr>
        <w:t xml:space="preserve"> </w:t>
      </w:r>
      <w:r w:rsidR="007778A9" w:rsidRPr="008A45E4">
        <w:rPr>
          <w:color w:val="000000"/>
          <w:sz w:val="19"/>
          <w:szCs w:val="19"/>
        </w:rPr>
        <w:t>A amplitude está apresenta</w:t>
      </w:r>
      <w:r w:rsidR="007778A9">
        <w:rPr>
          <w:color w:val="000000"/>
          <w:sz w:val="19"/>
          <w:szCs w:val="19"/>
        </w:rPr>
        <w:t>da</w:t>
      </w:r>
      <w:r w:rsidR="007778A9" w:rsidRPr="008A45E4">
        <w:rPr>
          <w:color w:val="000000"/>
          <w:sz w:val="19"/>
          <w:szCs w:val="19"/>
        </w:rPr>
        <w:t xml:space="preserve"> entre parênteses.</w:t>
      </w:r>
    </w:p>
    <w:tbl>
      <w:tblPr>
        <w:tblW w:w="4883" w:type="pct"/>
        <w:jc w:val="center"/>
        <w:tblBorders>
          <w:top w:val="single" w:sz="4" w:space="0" w:color="auto"/>
          <w:bottom w:val="single" w:sz="4" w:space="0" w:color="auto"/>
        </w:tblBorders>
        <w:tblLook w:val="04A0" w:firstRow="1" w:lastRow="0" w:firstColumn="1" w:lastColumn="0" w:noHBand="0" w:noVBand="1"/>
      </w:tblPr>
      <w:tblGrid>
        <w:gridCol w:w="1468"/>
        <w:gridCol w:w="1730"/>
        <w:gridCol w:w="2117"/>
        <w:gridCol w:w="1927"/>
        <w:gridCol w:w="2381"/>
      </w:tblGrid>
      <w:tr w:rsidR="00532871" w:rsidRPr="006C0983" w:rsidTr="00532871">
        <w:trPr>
          <w:trHeight w:val="285"/>
          <w:jc w:val="center"/>
        </w:trPr>
        <w:tc>
          <w:tcPr>
            <w:tcW w:w="763" w:type="pct"/>
            <w:vMerge w:val="restart"/>
            <w:tcBorders>
              <w:top w:val="single" w:sz="4" w:space="0" w:color="auto"/>
              <w:left w:val="nil"/>
              <w:right w:val="nil"/>
            </w:tcBorders>
            <w:shd w:val="clear" w:color="auto" w:fill="auto"/>
          </w:tcPr>
          <w:p w:rsidR="007778A9" w:rsidRPr="00532871" w:rsidRDefault="007778A9" w:rsidP="00532871">
            <w:pPr>
              <w:jc w:val="center"/>
              <w:rPr>
                <w:rFonts w:eastAsia="Times New Roman"/>
                <w:sz w:val="19"/>
                <w:szCs w:val="19"/>
              </w:rPr>
            </w:pPr>
          </w:p>
          <w:p w:rsidR="007778A9" w:rsidRPr="00532871" w:rsidRDefault="007778A9" w:rsidP="00B12EA5">
            <w:pPr>
              <w:rPr>
                <w:rFonts w:eastAsia="Times New Roman"/>
                <w:sz w:val="19"/>
                <w:szCs w:val="19"/>
              </w:rPr>
            </w:pPr>
            <w:r w:rsidRPr="00532871">
              <w:rPr>
                <w:rFonts w:eastAsia="Times New Roman"/>
                <w:sz w:val="19"/>
                <w:szCs w:val="19"/>
              </w:rPr>
              <w:t>Período</w:t>
            </w:r>
          </w:p>
        </w:tc>
        <w:tc>
          <w:tcPr>
            <w:tcW w:w="899" w:type="pct"/>
            <w:vMerge w:val="restart"/>
            <w:tcBorders>
              <w:top w:val="single" w:sz="4" w:space="0" w:color="auto"/>
              <w:left w:val="nil"/>
              <w:right w:val="nil"/>
            </w:tcBorders>
            <w:shd w:val="clear" w:color="auto" w:fill="auto"/>
            <w:vAlign w:val="center"/>
          </w:tcPr>
          <w:p w:rsidR="007778A9" w:rsidRPr="00532871" w:rsidRDefault="007778A9" w:rsidP="00532871">
            <w:pPr>
              <w:jc w:val="center"/>
              <w:rPr>
                <w:rFonts w:eastAsia="Times New Roman"/>
                <w:sz w:val="19"/>
                <w:szCs w:val="19"/>
              </w:rPr>
            </w:pPr>
            <w:r w:rsidRPr="00532871">
              <w:rPr>
                <w:rFonts w:eastAsia="Times New Roman"/>
                <w:sz w:val="19"/>
                <w:szCs w:val="19"/>
              </w:rPr>
              <w:t>Tipo</w:t>
            </w:r>
          </w:p>
        </w:tc>
        <w:tc>
          <w:tcPr>
            <w:tcW w:w="1100" w:type="pct"/>
            <w:vMerge w:val="restart"/>
            <w:tcBorders>
              <w:top w:val="single" w:sz="4" w:space="0" w:color="auto"/>
              <w:left w:val="nil"/>
              <w:bottom w:val="nil"/>
              <w:right w:val="nil"/>
            </w:tcBorders>
            <w:shd w:val="clear" w:color="auto" w:fill="auto"/>
            <w:vAlign w:val="center"/>
          </w:tcPr>
          <w:p w:rsidR="007778A9" w:rsidRPr="00532871" w:rsidRDefault="007778A9" w:rsidP="00532871">
            <w:pPr>
              <w:jc w:val="center"/>
              <w:rPr>
                <w:rFonts w:eastAsia="Times New Roman"/>
                <w:sz w:val="19"/>
                <w:szCs w:val="19"/>
              </w:rPr>
            </w:pPr>
            <w:r w:rsidRPr="00532871">
              <w:rPr>
                <w:rFonts w:eastAsia="Times New Roman"/>
                <w:sz w:val="19"/>
                <w:szCs w:val="19"/>
              </w:rPr>
              <w:t>Peso (g)</w:t>
            </w:r>
          </w:p>
        </w:tc>
        <w:tc>
          <w:tcPr>
            <w:tcW w:w="2238" w:type="pct"/>
            <w:gridSpan w:val="2"/>
            <w:tcBorders>
              <w:top w:val="single" w:sz="4" w:space="0" w:color="auto"/>
              <w:left w:val="nil"/>
              <w:bottom w:val="single" w:sz="4" w:space="0" w:color="auto"/>
              <w:right w:val="nil"/>
            </w:tcBorders>
            <w:shd w:val="clear" w:color="auto" w:fill="auto"/>
            <w:vAlign w:val="center"/>
          </w:tcPr>
          <w:p w:rsidR="007778A9" w:rsidRPr="00532871" w:rsidRDefault="007778A9" w:rsidP="00532871">
            <w:pPr>
              <w:jc w:val="center"/>
              <w:rPr>
                <w:rFonts w:eastAsia="Times New Roman"/>
                <w:sz w:val="19"/>
                <w:szCs w:val="19"/>
              </w:rPr>
            </w:pPr>
            <w:r w:rsidRPr="00532871">
              <w:rPr>
                <w:rFonts w:eastAsia="Times New Roman"/>
                <w:sz w:val="19"/>
                <w:szCs w:val="19"/>
              </w:rPr>
              <w:t>Sêmen</w:t>
            </w:r>
          </w:p>
        </w:tc>
      </w:tr>
      <w:tr w:rsidR="00532871" w:rsidRPr="006C0983" w:rsidTr="00532871">
        <w:trPr>
          <w:trHeight w:val="285"/>
          <w:jc w:val="center"/>
        </w:trPr>
        <w:tc>
          <w:tcPr>
            <w:tcW w:w="763" w:type="pct"/>
            <w:vMerge/>
            <w:tcBorders>
              <w:left w:val="nil"/>
              <w:bottom w:val="single" w:sz="4" w:space="0" w:color="auto"/>
              <w:right w:val="nil"/>
            </w:tcBorders>
            <w:shd w:val="clear" w:color="auto" w:fill="auto"/>
          </w:tcPr>
          <w:p w:rsidR="007778A9" w:rsidRPr="00532871" w:rsidRDefault="007778A9" w:rsidP="00532871">
            <w:pPr>
              <w:jc w:val="center"/>
              <w:rPr>
                <w:rFonts w:eastAsia="Times New Roman"/>
                <w:sz w:val="19"/>
                <w:szCs w:val="19"/>
              </w:rPr>
            </w:pPr>
          </w:p>
        </w:tc>
        <w:tc>
          <w:tcPr>
            <w:tcW w:w="899" w:type="pct"/>
            <w:vMerge/>
            <w:tcBorders>
              <w:left w:val="nil"/>
              <w:bottom w:val="single" w:sz="4" w:space="0" w:color="auto"/>
              <w:right w:val="nil"/>
            </w:tcBorders>
            <w:shd w:val="clear" w:color="auto" w:fill="auto"/>
            <w:vAlign w:val="center"/>
          </w:tcPr>
          <w:p w:rsidR="007778A9" w:rsidRPr="00532871" w:rsidRDefault="007778A9" w:rsidP="00532871">
            <w:pPr>
              <w:jc w:val="center"/>
              <w:rPr>
                <w:rFonts w:eastAsia="Times New Roman"/>
                <w:sz w:val="19"/>
                <w:szCs w:val="19"/>
              </w:rPr>
            </w:pPr>
          </w:p>
        </w:tc>
        <w:tc>
          <w:tcPr>
            <w:tcW w:w="1100" w:type="pct"/>
            <w:vMerge/>
            <w:tcBorders>
              <w:top w:val="nil"/>
              <w:left w:val="nil"/>
              <w:bottom w:val="single" w:sz="4" w:space="0" w:color="auto"/>
              <w:right w:val="nil"/>
            </w:tcBorders>
            <w:shd w:val="clear" w:color="auto" w:fill="auto"/>
            <w:vAlign w:val="center"/>
          </w:tcPr>
          <w:p w:rsidR="007778A9" w:rsidRPr="00532871" w:rsidRDefault="007778A9" w:rsidP="00532871">
            <w:pPr>
              <w:jc w:val="center"/>
              <w:rPr>
                <w:rFonts w:eastAsia="Times New Roman"/>
                <w:sz w:val="19"/>
                <w:szCs w:val="19"/>
              </w:rPr>
            </w:pPr>
          </w:p>
        </w:tc>
        <w:tc>
          <w:tcPr>
            <w:tcW w:w="1001" w:type="pct"/>
            <w:tcBorders>
              <w:top w:val="single" w:sz="4" w:space="0" w:color="auto"/>
              <w:left w:val="nil"/>
              <w:bottom w:val="single" w:sz="4" w:space="0" w:color="auto"/>
              <w:right w:val="nil"/>
            </w:tcBorders>
            <w:shd w:val="clear" w:color="auto" w:fill="auto"/>
            <w:vAlign w:val="center"/>
          </w:tcPr>
          <w:p w:rsidR="007778A9" w:rsidRPr="00532871" w:rsidRDefault="007778A9" w:rsidP="00532871">
            <w:pPr>
              <w:jc w:val="center"/>
              <w:rPr>
                <w:rFonts w:eastAsia="Times New Roman"/>
                <w:sz w:val="19"/>
                <w:szCs w:val="19"/>
              </w:rPr>
            </w:pPr>
            <w:r w:rsidRPr="00532871">
              <w:rPr>
                <w:rFonts w:eastAsia="Times New Roman"/>
                <w:sz w:val="19"/>
                <w:szCs w:val="19"/>
              </w:rPr>
              <w:t>Volume (mL)</w:t>
            </w:r>
          </w:p>
        </w:tc>
        <w:tc>
          <w:tcPr>
            <w:tcW w:w="1237" w:type="pct"/>
            <w:tcBorders>
              <w:top w:val="single" w:sz="4" w:space="0" w:color="auto"/>
              <w:left w:val="nil"/>
              <w:bottom w:val="single" w:sz="4" w:space="0" w:color="auto"/>
              <w:right w:val="nil"/>
            </w:tcBorders>
            <w:shd w:val="clear" w:color="auto" w:fill="auto"/>
            <w:vAlign w:val="center"/>
          </w:tcPr>
          <w:p w:rsidR="007778A9" w:rsidRPr="00532871" w:rsidRDefault="007778A9" w:rsidP="00532871">
            <w:pPr>
              <w:jc w:val="center"/>
              <w:rPr>
                <w:rFonts w:eastAsia="Times New Roman"/>
                <w:sz w:val="19"/>
                <w:szCs w:val="19"/>
              </w:rPr>
            </w:pPr>
            <w:r w:rsidRPr="00532871">
              <w:rPr>
                <w:rFonts w:eastAsia="Times New Roman"/>
                <w:sz w:val="19"/>
                <w:szCs w:val="19"/>
              </w:rPr>
              <w:t>Produção (mL/g)</w:t>
            </w:r>
          </w:p>
        </w:tc>
      </w:tr>
      <w:tr w:rsidR="00532871" w:rsidRPr="006C0983" w:rsidTr="00532871">
        <w:trPr>
          <w:trHeight w:val="250"/>
          <w:jc w:val="center"/>
        </w:trPr>
        <w:tc>
          <w:tcPr>
            <w:tcW w:w="763" w:type="pct"/>
            <w:vMerge w:val="restart"/>
            <w:tcBorders>
              <w:top w:val="single" w:sz="4" w:space="0" w:color="auto"/>
              <w:left w:val="nil"/>
              <w:bottom w:val="nil"/>
              <w:right w:val="nil"/>
            </w:tcBorders>
            <w:shd w:val="clear" w:color="auto" w:fill="auto"/>
            <w:vAlign w:val="center"/>
          </w:tcPr>
          <w:p w:rsidR="007778A9" w:rsidRPr="00532871" w:rsidRDefault="007778A9" w:rsidP="00532871">
            <w:pPr>
              <w:jc w:val="center"/>
              <w:rPr>
                <w:rFonts w:eastAsia="Times New Roman"/>
                <w:sz w:val="19"/>
                <w:szCs w:val="19"/>
              </w:rPr>
            </w:pPr>
            <w:r w:rsidRPr="00532871">
              <w:rPr>
                <w:rFonts w:eastAsia="Times New Roman"/>
                <w:sz w:val="19"/>
                <w:szCs w:val="19"/>
              </w:rPr>
              <w:t>Setembro</w:t>
            </w:r>
            <w:r w:rsidRPr="00532871">
              <w:rPr>
                <w:rFonts w:eastAsia="Times New Roman"/>
                <w:sz w:val="19"/>
                <w:szCs w:val="19"/>
              </w:rPr>
              <w:br/>
              <w:t>2016</w:t>
            </w:r>
          </w:p>
        </w:tc>
        <w:tc>
          <w:tcPr>
            <w:tcW w:w="899" w:type="pct"/>
            <w:tcBorders>
              <w:top w:val="single" w:sz="4" w:space="0" w:color="auto"/>
              <w:left w:val="nil"/>
              <w:bottom w:val="nil"/>
              <w:right w:val="nil"/>
            </w:tcBorders>
            <w:shd w:val="clear" w:color="auto" w:fill="auto"/>
            <w:vAlign w:val="center"/>
          </w:tcPr>
          <w:p w:rsidR="007778A9" w:rsidRPr="00532871" w:rsidRDefault="007778A9" w:rsidP="00532871">
            <w:pPr>
              <w:spacing w:before="120"/>
              <w:jc w:val="center"/>
              <w:rPr>
                <w:rFonts w:eastAsia="Times New Roman"/>
                <w:sz w:val="19"/>
                <w:szCs w:val="19"/>
              </w:rPr>
            </w:pPr>
            <w:r w:rsidRPr="00532871">
              <w:rPr>
                <w:rFonts w:eastAsia="Times New Roman"/>
                <w:sz w:val="19"/>
                <w:szCs w:val="19"/>
              </w:rPr>
              <w:t>Neomachos</w:t>
            </w:r>
          </w:p>
        </w:tc>
        <w:tc>
          <w:tcPr>
            <w:tcW w:w="1100" w:type="pct"/>
            <w:tcBorders>
              <w:top w:val="single" w:sz="4" w:space="0" w:color="auto"/>
              <w:left w:val="nil"/>
              <w:bottom w:val="nil"/>
              <w:right w:val="nil"/>
            </w:tcBorders>
            <w:shd w:val="clear" w:color="auto" w:fill="auto"/>
            <w:vAlign w:val="center"/>
          </w:tcPr>
          <w:p w:rsidR="007778A9" w:rsidRPr="00532871" w:rsidRDefault="007778A9" w:rsidP="00532871">
            <w:pPr>
              <w:spacing w:before="120"/>
              <w:jc w:val="center"/>
              <w:rPr>
                <w:rFonts w:eastAsia="Times New Roman"/>
                <w:sz w:val="19"/>
                <w:szCs w:val="19"/>
              </w:rPr>
            </w:pPr>
            <w:r w:rsidRPr="00532871">
              <w:rPr>
                <w:rFonts w:eastAsia="Times New Roman"/>
                <w:color w:val="000000"/>
                <w:sz w:val="19"/>
                <w:szCs w:val="19"/>
              </w:rPr>
              <w:t xml:space="preserve">481,7±265,8 </w:t>
            </w:r>
            <w:r w:rsidRPr="00532871">
              <w:rPr>
                <w:rFonts w:eastAsia="Times New Roman"/>
                <w:sz w:val="19"/>
                <w:szCs w:val="19"/>
              </w:rPr>
              <w:t>(</w:t>
            </w:r>
            <w:r w:rsidRPr="00532871">
              <w:rPr>
                <w:rFonts w:eastAsia="Times New Roman"/>
                <w:color w:val="000000"/>
                <w:sz w:val="19"/>
                <w:szCs w:val="19"/>
              </w:rPr>
              <w:t>270 – 780)</w:t>
            </w:r>
          </w:p>
        </w:tc>
        <w:tc>
          <w:tcPr>
            <w:tcW w:w="1001" w:type="pct"/>
            <w:tcBorders>
              <w:top w:val="single" w:sz="4" w:space="0" w:color="auto"/>
              <w:left w:val="nil"/>
              <w:bottom w:val="nil"/>
              <w:right w:val="nil"/>
            </w:tcBorders>
            <w:shd w:val="clear" w:color="auto" w:fill="auto"/>
            <w:vAlign w:val="center"/>
          </w:tcPr>
          <w:p w:rsidR="007778A9" w:rsidRPr="00532871" w:rsidRDefault="007778A9" w:rsidP="00532871">
            <w:pPr>
              <w:spacing w:before="120"/>
              <w:jc w:val="center"/>
              <w:rPr>
                <w:rFonts w:eastAsia="Times New Roman"/>
                <w:color w:val="000000"/>
                <w:sz w:val="19"/>
                <w:szCs w:val="19"/>
              </w:rPr>
            </w:pPr>
            <w:r w:rsidRPr="00532871">
              <w:rPr>
                <w:rFonts w:eastAsia="Times New Roman"/>
                <w:color w:val="000000"/>
                <w:sz w:val="19"/>
                <w:szCs w:val="19"/>
              </w:rPr>
              <w:t xml:space="preserve">3,7±4,4    </w:t>
            </w:r>
            <w:r w:rsidRPr="00532871">
              <w:rPr>
                <w:rFonts w:eastAsia="Times New Roman"/>
                <w:sz w:val="19"/>
                <w:szCs w:val="19"/>
              </w:rPr>
              <w:t>(</w:t>
            </w:r>
            <w:r w:rsidRPr="00532871">
              <w:rPr>
                <w:rFonts w:eastAsia="Times New Roman"/>
                <w:color w:val="000000"/>
                <w:sz w:val="19"/>
                <w:szCs w:val="19"/>
              </w:rPr>
              <w:t>1,1 - 8,8)</w:t>
            </w:r>
          </w:p>
        </w:tc>
        <w:tc>
          <w:tcPr>
            <w:tcW w:w="1237" w:type="pct"/>
            <w:tcBorders>
              <w:top w:val="single" w:sz="4" w:space="0" w:color="auto"/>
              <w:left w:val="nil"/>
              <w:bottom w:val="nil"/>
              <w:right w:val="nil"/>
            </w:tcBorders>
            <w:shd w:val="clear" w:color="auto" w:fill="auto"/>
            <w:vAlign w:val="center"/>
          </w:tcPr>
          <w:p w:rsidR="007778A9" w:rsidRPr="00532871" w:rsidRDefault="007778A9" w:rsidP="00532871">
            <w:pPr>
              <w:spacing w:before="120"/>
              <w:jc w:val="center"/>
              <w:rPr>
                <w:rFonts w:eastAsia="Times New Roman"/>
                <w:color w:val="000000"/>
                <w:sz w:val="19"/>
                <w:szCs w:val="19"/>
              </w:rPr>
            </w:pPr>
            <w:r w:rsidRPr="00532871">
              <w:rPr>
                <w:rFonts w:eastAsia="Times New Roman"/>
                <w:color w:val="000000"/>
                <w:sz w:val="19"/>
                <w:szCs w:val="19"/>
              </w:rPr>
              <w:t>0,008</w:t>
            </w:r>
          </w:p>
        </w:tc>
      </w:tr>
      <w:tr w:rsidR="00532871" w:rsidRPr="006C0983" w:rsidTr="00532871">
        <w:trPr>
          <w:trHeight w:val="171"/>
          <w:jc w:val="center"/>
        </w:trPr>
        <w:tc>
          <w:tcPr>
            <w:tcW w:w="763" w:type="pct"/>
            <w:vMerge/>
            <w:tcBorders>
              <w:top w:val="nil"/>
              <w:left w:val="nil"/>
              <w:bottom w:val="single" w:sz="4" w:space="0" w:color="auto"/>
              <w:right w:val="nil"/>
            </w:tcBorders>
            <w:shd w:val="clear" w:color="auto" w:fill="auto"/>
            <w:vAlign w:val="center"/>
          </w:tcPr>
          <w:p w:rsidR="007778A9" w:rsidRPr="00532871" w:rsidRDefault="007778A9" w:rsidP="00532871">
            <w:pPr>
              <w:jc w:val="center"/>
              <w:rPr>
                <w:rFonts w:eastAsia="Times New Roman"/>
                <w:sz w:val="19"/>
                <w:szCs w:val="19"/>
              </w:rPr>
            </w:pPr>
          </w:p>
        </w:tc>
        <w:tc>
          <w:tcPr>
            <w:tcW w:w="899" w:type="pct"/>
            <w:tcBorders>
              <w:top w:val="nil"/>
              <w:left w:val="nil"/>
              <w:bottom w:val="single" w:sz="4" w:space="0" w:color="auto"/>
              <w:right w:val="nil"/>
            </w:tcBorders>
            <w:shd w:val="clear" w:color="auto" w:fill="auto"/>
            <w:vAlign w:val="center"/>
          </w:tcPr>
          <w:p w:rsidR="007778A9" w:rsidRPr="00532871" w:rsidRDefault="007778A9" w:rsidP="00532871">
            <w:pPr>
              <w:spacing w:before="40" w:after="120"/>
              <w:jc w:val="center"/>
              <w:rPr>
                <w:rFonts w:eastAsia="Times New Roman"/>
                <w:sz w:val="19"/>
                <w:szCs w:val="19"/>
              </w:rPr>
            </w:pPr>
            <w:r w:rsidRPr="00532871">
              <w:rPr>
                <w:rFonts w:eastAsia="Times New Roman"/>
                <w:sz w:val="19"/>
                <w:szCs w:val="19"/>
              </w:rPr>
              <w:t>Machos</w:t>
            </w:r>
          </w:p>
        </w:tc>
        <w:tc>
          <w:tcPr>
            <w:tcW w:w="1100" w:type="pct"/>
            <w:tcBorders>
              <w:top w:val="nil"/>
              <w:left w:val="nil"/>
              <w:bottom w:val="single" w:sz="4" w:space="0" w:color="auto"/>
              <w:right w:val="nil"/>
            </w:tcBorders>
            <w:shd w:val="clear" w:color="auto" w:fill="auto"/>
            <w:vAlign w:val="center"/>
          </w:tcPr>
          <w:p w:rsidR="007778A9" w:rsidRPr="00532871" w:rsidRDefault="007778A9" w:rsidP="00532871">
            <w:pPr>
              <w:spacing w:before="40" w:after="120"/>
              <w:jc w:val="center"/>
              <w:rPr>
                <w:rFonts w:eastAsia="Times New Roman"/>
                <w:sz w:val="19"/>
                <w:szCs w:val="19"/>
              </w:rPr>
            </w:pPr>
            <w:r w:rsidRPr="00532871">
              <w:rPr>
                <w:rFonts w:eastAsia="Times New Roman"/>
                <w:sz w:val="19"/>
                <w:szCs w:val="19"/>
              </w:rPr>
              <w:t>376,7±107,7 (265 – 480)</w:t>
            </w:r>
          </w:p>
        </w:tc>
        <w:tc>
          <w:tcPr>
            <w:tcW w:w="1001" w:type="pct"/>
            <w:tcBorders>
              <w:top w:val="nil"/>
              <w:left w:val="nil"/>
              <w:bottom w:val="single" w:sz="4" w:space="0" w:color="auto"/>
              <w:right w:val="nil"/>
            </w:tcBorders>
            <w:shd w:val="clear" w:color="auto" w:fill="auto"/>
            <w:vAlign w:val="center"/>
          </w:tcPr>
          <w:p w:rsidR="007778A9" w:rsidRPr="00532871" w:rsidRDefault="007778A9" w:rsidP="00532871">
            <w:pPr>
              <w:spacing w:before="40" w:after="120"/>
              <w:jc w:val="center"/>
              <w:rPr>
                <w:rFonts w:eastAsia="Times New Roman"/>
                <w:sz w:val="19"/>
                <w:szCs w:val="19"/>
              </w:rPr>
            </w:pPr>
            <w:r w:rsidRPr="00532871">
              <w:rPr>
                <w:rFonts w:eastAsia="Times New Roman"/>
                <w:color w:val="000000"/>
                <w:sz w:val="19"/>
                <w:szCs w:val="19"/>
              </w:rPr>
              <w:t xml:space="preserve">10,0±2,0  </w:t>
            </w:r>
            <w:r w:rsidRPr="00532871">
              <w:rPr>
                <w:rFonts w:eastAsia="Times New Roman"/>
                <w:sz w:val="19"/>
                <w:szCs w:val="19"/>
              </w:rPr>
              <w:t>(7,8 - 11,8)</w:t>
            </w:r>
          </w:p>
        </w:tc>
        <w:tc>
          <w:tcPr>
            <w:tcW w:w="1237" w:type="pct"/>
            <w:tcBorders>
              <w:top w:val="nil"/>
              <w:left w:val="nil"/>
              <w:bottom w:val="single" w:sz="4" w:space="0" w:color="auto"/>
              <w:right w:val="nil"/>
            </w:tcBorders>
            <w:shd w:val="clear" w:color="auto" w:fill="auto"/>
            <w:vAlign w:val="center"/>
          </w:tcPr>
          <w:p w:rsidR="007778A9" w:rsidRPr="00532871" w:rsidRDefault="007778A9" w:rsidP="00532871">
            <w:pPr>
              <w:spacing w:before="40" w:after="120"/>
              <w:jc w:val="center"/>
              <w:rPr>
                <w:rFonts w:eastAsia="Times New Roman"/>
                <w:color w:val="000000"/>
                <w:sz w:val="19"/>
                <w:szCs w:val="19"/>
              </w:rPr>
            </w:pPr>
            <w:r w:rsidRPr="00532871">
              <w:rPr>
                <w:rFonts w:eastAsia="Times New Roman"/>
                <w:color w:val="000000"/>
                <w:sz w:val="19"/>
                <w:szCs w:val="19"/>
              </w:rPr>
              <w:t>0,027</w:t>
            </w:r>
          </w:p>
        </w:tc>
      </w:tr>
    </w:tbl>
    <w:p w:rsidR="00AD413C" w:rsidRDefault="00AD413C" w:rsidP="00C7456E">
      <w:pPr>
        <w:spacing w:after="0"/>
        <w:ind w:firstLine="709"/>
        <w:rPr>
          <w:noProof/>
          <w:szCs w:val="21"/>
        </w:rPr>
      </w:pPr>
    </w:p>
    <w:p w:rsidR="007778A9" w:rsidRPr="00AD413C" w:rsidRDefault="007778A9" w:rsidP="00AD413C">
      <w:pPr>
        <w:ind w:firstLine="709"/>
        <w:jc w:val="both"/>
        <w:rPr>
          <w:szCs w:val="21"/>
        </w:rPr>
      </w:pPr>
      <w:r>
        <w:rPr>
          <w:color w:val="000000"/>
          <w:szCs w:val="21"/>
        </w:rPr>
        <w:t xml:space="preserve">Os valores das demais varáveis analisadas para o sêmen de neomachos e machos </w:t>
      </w:r>
      <w:r>
        <w:rPr>
          <w:noProof/>
          <w:szCs w:val="21"/>
        </w:rPr>
        <w:t>genotípicos</w:t>
      </w:r>
      <w:r>
        <w:rPr>
          <w:color w:val="000000"/>
          <w:szCs w:val="21"/>
        </w:rPr>
        <w:t xml:space="preserve"> de </w:t>
      </w:r>
      <w:r w:rsidRPr="006A07E8">
        <w:rPr>
          <w:i/>
          <w:color w:val="000000"/>
          <w:szCs w:val="21"/>
        </w:rPr>
        <w:t>Rhamdia quelen</w:t>
      </w:r>
      <w:r>
        <w:rPr>
          <w:color w:val="000000"/>
          <w:szCs w:val="21"/>
        </w:rPr>
        <w:t xml:space="preserve"> em setembro/2016 estão apresentados na Tabela 2.</w:t>
      </w:r>
    </w:p>
    <w:p w:rsidR="007778A9" w:rsidRDefault="007778A9" w:rsidP="00AD413C">
      <w:pPr>
        <w:pStyle w:val="Legenda"/>
        <w:spacing w:after="200"/>
        <w:jc w:val="both"/>
        <w:rPr>
          <w:sz w:val="19"/>
          <w:szCs w:val="19"/>
        </w:rPr>
      </w:pPr>
      <w:bookmarkStart w:id="21" w:name="_Toc488703165"/>
      <w:r w:rsidRPr="00D935BA">
        <w:rPr>
          <w:b/>
          <w:sz w:val="19"/>
          <w:szCs w:val="19"/>
        </w:rPr>
        <w:t>Tabela 2.</w:t>
      </w:r>
      <w:r w:rsidRPr="00D935BA">
        <w:rPr>
          <w:sz w:val="19"/>
          <w:szCs w:val="19"/>
        </w:rPr>
        <w:t xml:space="preserve"> Variáveis espermáticas analisadas no sêmen de neomachos (n=3) e de </w:t>
      </w:r>
      <w:r>
        <w:rPr>
          <w:sz w:val="19"/>
          <w:szCs w:val="19"/>
        </w:rPr>
        <w:t>machos</w:t>
      </w:r>
      <w:r w:rsidRPr="00365B7A">
        <w:rPr>
          <w:sz w:val="19"/>
          <w:szCs w:val="19"/>
        </w:rPr>
        <w:t xml:space="preserve"> </w:t>
      </w:r>
      <w:r w:rsidRPr="00365B7A">
        <w:rPr>
          <w:noProof/>
          <w:sz w:val="19"/>
          <w:szCs w:val="19"/>
        </w:rPr>
        <w:t>genotípicos</w:t>
      </w:r>
      <w:r w:rsidRPr="00D935BA">
        <w:rPr>
          <w:sz w:val="19"/>
          <w:szCs w:val="19"/>
        </w:rPr>
        <w:t xml:space="preserve"> (n=3) de </w:t>
      </w:r>
      <w:r w:rsidRPr="00D935BA">
        <w:rPr>
          <w:i/>
          <w:sz w:val="19"/>
          <w:szCs w:val="19"/>
        </w:rPr>
        <w:t xml:space="preserve">Rhamdia quelen </w:t>
      </w:r>
      <w:r w:rsidRPr="00D935BA">
        <w:rPr>
          <w:sz w:val="19"/>
          <w:szCs w:val="19"/>
        </w:rPr>
        <w:t>(média ± desvio padrão) em setembro/2016.</w:t>
      </w:r>
      <w:bookmarkEnd w:id="21"/>
      <w:r>
        <w:rPr>
          <w:sz w:val="19"/>
          <w:szCs w:val="19"/>
        </w:rPr>
        <w:t xml:space="preserve"> VCL = Velocidade curvilinear; VAP = Velocidade da</w:t>
      </w:r>
      <w:r w:rsidRPr="00D935BA">
        <w:rPr>
          <w:sz w:val="19"/>
          <w:szCs w:val="19"/>
        </w:rPr>
        <w:t xml:space="preserve"> trajetória média; VSL = Velocidade </w:t>
      </w:r>
      <w:r>
        <w:rPr>
          <w:sz w:val="19"/>
          <w:szCs w:val="19"/>
        </w:rPr>
        <w:t xml:space="preserve">linear </w:t>
      </w:r>
      <w:r w:rsidRPr="00D935BA">
        <w:rPr>
          <w:sz w:val="19"/>
          <w:szCs w:val="19"/>
        </w:rPr>
        <w:t>progressiva.</w:t>
      </w:r>
      <w:r>
        <w:rPr>
          <w:sz w:val="19"/>
          <w:szCs w:val="19"/>
        </w:rPr>
        <w:t xml:space="preserve"> LIN = Linearidade.</w:t>
      </w:r>
    </w:p>
    <w:tbl>
      <w:tblPr>
        <w:tblW w:w="6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802"/>
        <w:gridCol w:w="1702"/>
        <w:gridCol w:w="1842"/>
      </w:tblGrid>
      <w:tr w:rsidR="00532871" w:rsidRPr="00532871" w:rsidTr="00532871">
        <w:trPr>
          <w:jc w:val="center"/>
        </w:trPr>
        <w:tc>
          <w:tcPr>
            <w:tcW w:w="2802" w:type="dxa"/>
            <w:tcBorders>
              <w:top w:val="single" w:sz="4" w:space="0" w:color="auto"/>
              <w:left w:val="nil"/>
              <w:bottom w:val="single" w:sz="4" w:space="0" w:color="auto"/>
              <w:right w:val="nil"/>
            </w:tcBorders>
            <w:shd w:val="clear" w:color="auto" w:fill="auto"/>
            <w:vAlign w:val="bottom"/>
          </w:tcPr>
          <w:p w:rsidR="007778A9" w:rsidRPr="00532871" w:rsidRDefault="007778A9" w:rsidP="00532871">
            <w:pPr>
              <w:spacing w:after="0" w:line="240" w:lineRule="auto"/>
              <w:rPr>
                <w:bCs/>
                <w:color w:val="000000"/>
                <w:sz w:val="19"/>
                <w:szCs w:val="19"/>
              </w:rPr>
            </w:pPr>
            <w:r w:rsidRPr="00532871">
              <w:rPr>
                <w:bCs/>
                <w:color w:val="000000"/>
                <w:sz w:val="19"/>
                <w:szCs w:val="19"/>
              </w:rPr>
              <w:t>Variável espermática</w:t>
            </w:r>
          </w:p>
        </w:tc>
        <w:tc>
          <w:tcPr>
            <w:tcW w:w="1702" w:type="dxa"/>
            <w:tcBorders>
              <w:top w:val="single" w:sz="4" w:space="0" w:color="auto"/>
              <w:left w:val="nil"/>
              <w:bottom w:val="single" w:sz="4" w:space="0" w:color="auto"/>
              <w:right w:val="nil"/>
            </w:tcBorders>
            <w:shd w:val="clear" w:color="auto" w:fill="auto"/>
            <w:vAlign w:val="bottom"/>
          </w:tcPr>
          <w:p w:rsidR="007778A9" w:rsidRPr="00532871" w:rsidRDefault="007778A9" w:rsidP="00532871">
            <w:pPr>
              <w:spacing w:after="0" w:line="240" w:lineRule="auto"/>
              <w:jc w:val="center"/>
              <w:rPr>
                <w:color w:val="000000"/>
                <w:sz w:val="19"/>
                <w:szCs w:val="19"/>
              </w:rPr>
            </w:pPr>
            <w:r w:rsidRPr="00532871">
              <w:rPr>
                <w:color w:val="000000"/>
                <w:sz w:val="19"/>
                <w:szCs w:val="19"/>
              </w:rPr>
              <w:t>Neomachos</w:t>
            </w:r>
          </w:p>
        </w:tc>
        <w:tc>
          <w:tcPr>
            <w:tcW w:w="1842" w:type="dxa"/>
            <w:tcBorders>
              <w:top w:val="single" w:sz="4" w:space="0" w:color="auto"/>
              <w:left w:val="nil"/>
              <w:bottom w:val="single" w:sz="4" w:space="0" w:color="auto"/>
              <w:right w:val="nil"/>
            </w:tcBorders>
            <w:shd w:val="clear" w:color="auto" w:fill="auto"/>
            <w:vAlign w:val="bottom"/>
          </w:tcPr>
          <w:p w:rsidR="007778A9" w:rsidRPr="00532871" w:rsidRDefault="007778A9" w:rsidP="00532871">
            <w:pPr>
              <w:spacing w:after="0" w:line="240" w:lineRule="auto"/>
              <w:jc w:val="center"/>
              <w:rPr>
                <w:color w:val="000000"/>
                <w:sz w:val="19"/>
                <w:szCs w:val="19"/>
              </w:rPr>
            </w:pPr>
            <w:r w:rsidRPr="00532871">
              <w:rPr>
                <w:color w:val="000000"/>
                <w:sz w:val="19"/>
                <w:szCs w:val="19"/>
              </w:rPr>
              <w:t>Machos</w:t>
            </w:r>
          </w:p>
        </w:tc>
      </w:tr>
      <w:tr w:rsidR="00532871" w:rsidRPr="00532871" w:rsidTr="00532871">
        <w:trPr>
          <w:jc w:val="center"/>
        </w:trPr>
        <w:tc>
          <w:tcPr>
            <w:tcW w:w="2802" w:type="dxa"/>
            <w:tcBorders>
              <w:top w:val="nil"/>
              <w:left w:val="nil"/>
              <w:bottom w:val="nil"/>
              <w:right w:val="nil"/>
            </w:tcBorders>
            <w:shd w:val="clear" w:color="auto" w:fill="auto"/>
            <w:vAlign w:val="bottom"/>
          </w:tcPr>
          <w:p w:rsidR="007778A9" w:rsidRPr="00532871" w:rsidRDefault="007778A9" w:rsidP="00532871">
            <w:pPr>
              <w:spacing w:after="0" w:line="240" w:lineRule="auto"/>
              <w:rPr>
                <w:color w:val="000000"/>
                <w:sz w:val="19"/>
                <w:szCs w:val="19"/>
              </w:rPr>
            </w:pPr>
            <w:r w:rsidRPr="00532871">
              <w:rPr>
                <w:color w:val="000000"/>
                <w:sz w:val="19"/>
                <w:szCs w:val="19"/>
              </w:rPr>
              <w:t>Concentração (spz/mL)</w:t>
            </w:r>
          </w:p>
        </w:tc>
        <w:tc>
          <w:tcPr>
            <w:tcW w:w="170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rPr>
            </w:pPr>
            <w:r w:rsidRPr="00532871">
              <w:rPr>
                <w:color w:val="000000"/>
                <w:sz w:val="19"/>
                <w:szCs w:val="19"/>
              </w:rPr>
              <w:t>1,1x10</w:t>
            </w:r>
            <w:r w:rsidRPr="00532871">
              <w:rPr>
                <w:color w:val="000000"/>
                <w:sz w:val="19"/>
                <w:szCs w:val="19"/>
                <w:vertAlign w:val="superscript"/>
              </w:rPr>
              <w:t>11</w:t>
            </w:r>
            <w:r w:rsidRPr="00532871">
              <w:rPr>
                <w:color w:val="000000"/>
                <w:sz w:val="19"/>
                <w:szCs w:val="19"/>
              </w:rPr>
              <w:t xml:space="preserve"> ± 1,9x10</w:t>
            </w:r>
            <w:r w:rsidRPr="00532871">
              <w:rPr>
                <w:color w:val="000000"/>
                <w:sz w:val="19"/>
                <w:szCs w:val="19"/>
                <w:vertAlign w:val="superscript"/>
              </w:rPr>
              <w:t>11</w:t>
            </w:r>
          </w:p>
        </w:tc>
        <w:tc>
          <w:tcPr>
            <w:tcW w:w="184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rPr>
            </w:pPr>
            <w:r w:rsidRPr="00532871">
              <w:rPr>
                <w:color w:val="000000"/>
                <w:sz w:val="19"/>
                <w:szCs w:val="19"/>
              </w:rPr>
              <w:t>2,4x10</w:t>
            </w:r>
            <w:r w:rsidRPr="00532871">
              <w:rPr>
                <w:color w:val="000000"/>
                <w:sz w:val="19"/>
                <w:szCs w:val="19"/>
                <w:vertAlign w:val="superscript"/>
              </w:rPr>
              <w:t>11</w:t>
            </w:r>
            <w:r w:rsidRPr="00532871">
              <w:rPr>
                <w:color w:val="000000"/>
                <w:sz w:val="19"/>
                <w:szCs w:val="19"/>
              </w:rPr>
              <w:t xml:space="preserve"> ± 3,9x10</w:t>
            </w:r>
            <w:r w:rsidRPr="00532871">
              <w:rPr>
                <w:sz w:val="19"/>
                <w:szCs w:val="19"/>
                <w:vertAlign w:val="superscript"/>
              </w:rPr>
              <w:t>10</w:t>
            </w:r>
          </w:p>
        </w:tc>
      </w:tr>
      <w:tr w:rsidR="00532871" w:rsidRPr="00532871" w:rsidTr="00532871">
        <w:trPr>
          <w:jc w:val="center"/>
        </w:trPr>
        <w:tc>
          <w:tcPr>
            <w:tcW w:w="2802" w:type="dxa"/>
            <w:tcBorders>
              <w:top w:val="nil"/>
              <w:left w:val="nil"/>
              <w:bottom w:val="nil"/>
              <w:right w:val="nil"/>
            </w:tcBorders>
            <w:shd w:val="clear" w:color="auto" w:fill="auto"/>
            <w:vAlign w:val="bottom"/>
          </w:tcPr>
          <w:p w:rsidR="007778A9" w:rsidRPr="00532871" w:rsidRDefault="007778A9" w:rsidP="00532871">
            <w:pPr>
              <w:spacing w:after="0" w:line="240" w:lineRule="auto"/>
              <w:rPr>
                <w:color w:val="000000"/>
                <w:sz w:val="19"/>
                <w:szCs w:val="19"/>
              </w:rPr>
            </w:pPr>
            <w:r w:rsidRPr="00532871">
              <w:rPr>
                <w:color w:val="000000"/>
                <w:sz w:val="19"/>
                <w:szCs w:val="19"/>
              </w:rPr>
              <w:t>Espermatócrito (%)</w:t>
            </w:r>
          </w:p>
        </w:tc>
        <w:tc>
          <w:tcPr>
            <w:tcW w:w="170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rPr>
            </w:pPr>
            <w:r w:rsidRPr="00532871">
              <w:rPr>
                <w:color w:val="000000"/>
                <w:sz w:val="19"/>
                <w:szCs w:val="19"/>
              </w:rPr>
              <w:t>18,8 ± 18,7</w:t>
            </w:r>
          </w:p>
        </w:tc>
        <w:tc>
          <w:tcPr>
            <w:tcW w:w="184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rPr>
            </w:pPr>
            <w:r w:rsidRPr="00532871">
              <w:rPr>
                <w:color w:val="000000"/>
                <w:sz w:val="19"/>
                <w:szCs w:val="19"/>
              </w:rPr>
              <w:t>25,5 ± 7,2</w:t>
            </w:r>
          </w:p>
        </w:tc>
      </w:tr>
      <w:tr w:rsidR="00532871" w:rsidRPr="00532871" w:rsidTr="00532871">
        <w:trPr>
          <w:jc w:val="center"/>
        </w:trPr>
        <w:tc>
          <w:tcPr>
            <w:tcW w:w="2802" w:type="dxa"/>
            <w:tcBorders>
              <w:top w:val="nil"/>
              <w:left w:val="nil"/>
              <w:bottom w:val="nil"/>
              <w:right w:val="nil"/>
            </w:tcBorders>
            <w:shd w:val="clear" w:color="auto" w:fill="auto"/>
            <w:vAlign w:val="bottom"/>
          </w:tcPr>
          <w:p w:rsidR="007778A9" w:rsidRPr="00532871" w:rsidRDefault="007778A9" w:rsidP="00532871">
            <w:pPr>
              <w:spacing w:after="0" w:line="240" w:lineRule="auto"/>
              <w:rPr>
                <w:color w:val="000000"/>
                <w:sz w:val="19"/>
                <w:szCs w:val="19"/>
              </w:rPr>
            </w:pPr>
            <w:r w:rsidRPr="00532871">
              <w:rPr>
                <w:color w:val="000000"/>
                <w:sz w:val="19"/>
                <w:szCs w:val="19"/>
              </w:rPr>
              <w:t>Normalidade morfológica (%)</w:t>
            </w:r>
          </w:p>
        </w:tc>
        <w:tc>
          <w:tcPr>
            <w:tcW w:w="170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rPr>
            </w:pPr>
            <w:r w:rsidRPr="00532871">
              <w:rPr>
                <w:color w:val="000000"/>
                <w:sz w:val="19"/>
                <w:szCs w:val="19"/>
              </w:rPr>
              <w:t>69,0 ± 10,0**</w:t>
            </w:r>
          </w:p>
        </w:tc>
        <w:tc>
          <w:tcPr>
            <w:tcW w:w="184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rPr>
            </w:pPr>
            <w:r w:rsidRPr="00532871">
              <w:rPr>
                <w:color w:val="000000"/>
                <w:sz w:val="19"/>
                <w:szCs w:val="19"/>
              </w:rPr>
              <w:t>86,3 ± 3,5</w:t>
            </w:r>
          </w:p>
        </w:tc>
      </w:tr>
      <w:tr w:rsidR="00532871" w:rsidRPr="00532871" w:rsidTr="00532871">
        <w:trPr>
          <w:jc w:val="center"/>
        </w:trPr>
        <w:tc>
          <w:tcPr>
            <w:tcW w:w="2802" w:type="dxa"/>
            <w:tcBorders>
              <w:top w:val="nil"/>
              <w:left w:val="nil"/>
              <w:bottom w:val="nil"/>
              <w:right w:val="nil"/>
            </w:tcBorders>
            <w:shd w:val="clear" w:color="auto" w:fill="auto"/>
            <w:vAlign w:val="bottom"/>
          </w:tcPr>
          <w:p w:rsidR="007778A9" w:rsidRPr="00532871" w:rsidRDefault="007778A9" w:rsidP="00532871">
            <w:pPr>
              <w:spacing w:after="0" w:line="240" w:lineRule="auto"/>
              <w:rPr>
                <w:color w:val="000000"/>
                <w:sz w:val="19"/>
                <w:szCs w:val="19"/>
                <w:lang w:eastAsia="pt-BR"/>
              </w:rPr>
            </w:pPr>
            <w:r w:rsidRPr="00532871">
              <w:rPr>
                <w:color w:val="000000"/>
                <w:sz w:val="19"/>
                <w:szCs w:val="19"/>
                <w:lang w:eastAsia="pt-BR"/>
              </w:rPr>
              <w:t>Motilidade (%)</w:t>
            </w:r>
          </w:p>
        </w:tc>
        <w:tc>
          <w:tcPr>
            <w:tcW w:w="170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lang w:eastAsia="pt-BR"/>
              </w:rPr>
            </w:pPr>
            <w:r w:rsidRPr="00532871">
              <w:rPr>
                <w:color w:val="000000"/>
                <w:sz w:val="19"/>
                <w:szCs w:val="19"/>
                <w:lang w:eastAsia="pt-BR"/>
              </w:rPr>
              <w:t>75,0 ± 0,2*</w:t>
            </w:r>
          </w:p>
        </w:tc>
        <w:tc>
          <w:tcPr>
            <w:tcW w:w="184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lang w:eastAsia="pt-BR"/>
              </w:rPr>
            </w:pPr>
            <w:r w:rsidRPr="00532871">
              <w:rPr>
                <w:color w:val="000000"/>
                <w:sz w:val="19"/>
                <w:szCs w:val="19"/>
                <w:lang w:eastAsia="pt-BR"/>
              </w:rPr>
              <w:t>75,0 ± 0,1</w:t>
            </w:r>
          </w:p>
        </w:tc>
      </w:tr>
      <w:tr w:rsidR="00532871" w:rsidRPr="00532871" w:rsidTr="00532871">
        <w:trPr>
          <w:jc w:val="center"/>
        </w:trPr>
        <w:tc>
          <w:tcPr>
            <w:tcW w:w="2802" w:type="dxa"/>
            <w:tcBorders>
              <w:top w:val="nil"/>
              <w:left w:val="nil"/>
              <w:bottom w:val="nil"/>
              <w:right w:val="nil"/>
            </w:tcBorders>
            <w:shd w:val="clear" w:color="auto" w:fill="auto"/>
            <w:vAlign w:val="bottom"/>
          </w:tcPr>
          <w:p w:rsidR="007778A9" w:rsidRPr="00532871" w:rsidRDefault="007778A9" w:rsidP="00532871">
            <w:pPr>
              <w:spacing w:after="0" w:line="240" w:lineRule="auto"/>
              <w:rPr>
                <w:color w:val="000000"/>
                <w:sz w:val="19"/>
                <w:szCs w:val="19"/>
              </w:rPr>
            </w:pPr>
            <w:r w:rsidRPr="00532871">
              <w:rPr>
                <w:color w:val="000000"/>
                <w:sz w:val="19"/>
                <w:szCs w:val="19"/>
              </w:rPr>
              <w:t>VCL (µm/s)</w:t>
            </w:r>
          </w:p>
        </w:tc>
        <w:tc>
          <w:tcPr>
            <w:tcW w:w="170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lang w:eastAsia="pt-BR"/>
              </w:rPr>
            </w:pPr>
            <w:r w:rsidRPr="00532871">
              <w:rPr>
                <w:color w:val="000000"/>
                <w:sz w:val="19"/>
                <w:szCs w:val="19"/>
                <w:lang w:eastAsia="pt-BR"/>
              </w:rPr>
              <w:t>82,7 ± 4,4*</w:t>
            </w:r>
          </w:p>
        </w:tc>
        <w:tc>
          <w:tcPr>
            <w:tcW w:w="184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lang w:eastAsia="pt-BR"/>
              </w:rPr>
            </w:pPr>
            <w:r w:rsidRPr="00532871">
              <w:rPr>
                <w:color w:val="000000"/>
                <w:sz w:val="19"/>
                <w:szCs w:val="19"/>
                <w:lang w:eastAsia="pt-BR"/>
              </w:rPr>
              <w:t>80,8 ± 7,9</w:t>
            </w:r>
          </w:p>
        </w:tc>
      </w:tr>
      <w:tr w:rsidR="00532871" w:rsidRPr="00532871" w:rsidTr="00532871">
        <w:trPr>
          <w:jc w:val="center"/>
        </w:trPr>
        <w:tc>
          <w:tcPr>
            <w:tcW w:w="2802" w:type="dxa"/>
            <w:tcBorders>
              <w:top w:val="nil"/>
              <w:left w:val="nil"/>
              <w:bottom w:val="nil"/>
              <w:right w:val="nil"/>
            </w:tcBorders>
            <w:shd w:val="clear" w:color="auto" w:fill="auto"/>
            <w:vAlign w:val="bottom"/>
          </w:tcPr>
          <w:p w:rsidR="007778A9" w:rsidRPr="00532871" w:rsidRDefault="007778A9" w:rsidP="00532871">
            <w:pPr>
              <w:spacing w:after="0" w:line="240" w:lineRule="auto"/>
              <w:rPr>
                <w:color w:val="000000"/>
                <w:sz w:val="19"/>
                <w:szCs w:val="19"/>
              </w:rPr>
            </w:pPr>
            <w:r w:rsidRPr="00532871">
              <w:rPr>
                <w:color w:val="000000"/>
                <w:sz w:val="19"/>
                <w:szCs w:val="19"/>
              </w:rPr>
              <w:t>VAP (µm/s)</w:t>
            </w:r>
          </w:p>
        </w:tc>
        <w:tc>
          <w:tcPr>
            <w:tcW w:w="170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lang w:eastAsia="pt-BR"/>
              </w:rPr>
            </w:pPr>
            <w:r w:rsidRPr="00532871">
              <w:rPr>
                <w:color w:val="000000"/>
                <w:sz w:val="19"/>
                <w:szCs w:val="19"/>
                <w:lang w:eastAsia="pt-BR"/>
              </w:rPr>
              <w:t>68,9 ± 4,9*</w:t>
            </w:r>
          </w:p>
        </w:tc>
        <w:tc>
          <w:tcPr>
            <w:tcW w:w="184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lang w:eastAsia="pt-BR"/>
              </w:rPr>
            </w:pPr>
            <w:r w:rsidRPr="00532871">
              <w:rPr>
                <w:color w:val="000000"/>
                <w:sz w:val="19"/>
                <w:szCs w:val="19"/>
                <w:lang w:eastAsia="pt-BR"/>
              </w:rPr>
              <w:t>67,9 ± 7,6</w:t>
            </w:r>
          </w:p>
        </w:tc>
      </w:tr>
      <w:tr w:rsidR="00532871" w:rsidRPr="00532871" w:rsidTr="00532871">
        <w:trPr>
          <w:jc w:val="center"/>
        </w:trPr>
        <w:tc>
          <w:tcPr>
            <w:tcW w:w="2802" w:type="dxa"/>
            <w:tcBorders>
              <w:top w:val="nil"/>
              <w:left w:val="nil"/>
              <w:bottom w:val="nil"/>
              <w:right w:val="nil"/>
            </w:tcBorders>
            <w:shd w:val="clear" w:color="auto" w:fill="auto"/>
            <w:vAlign w:val="bottom"/>
          </w:tcPr>
          <w:p w:rsidR="007778A9" w:rsidRPr="00532871" w:rsidRDefault="007778A9" w:rsidP="00532871">
            <w:pPr>
              <w:spacing w:after="0" w:line="240" w:lineRule="auto"/>
              <w:rPr>
                <w:color w:val="000000"/>
                <w:sz w:val="19"/>
                <w:szCs w:val="19"/>
              </w:rPr>
            </w:pPr>
            <w:r w:rsidRPr="00532871">
              <w:rPr>
                <w:color w:val="000000"/>
                <w:sz w:val="19"/>
                <w:szCs w:val="19"/>
              </w:rPr>
              <w:t>VSL (µm/s)</w:t>
            </w:r>
          </w:p>
        </w:tc>
        <w:tc>
          <w:tcPr>
            <w:tcW w:w="170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lang w:eastAsia="pt-BR"/>
              </w:rPr>
            </w:pPr>
            <w:r w:rsidRPr="00532871">
              <w:rPr>
                <w:color w:val="000000"/>
                <w:sz w:val="19"/>
                <w:szCs w:val="19"/>
                <w:lang w:eastAsia="pt-BR"/>
              </w:rPr>
              <w:t>61,7 ± 5,8*</w:t>
            </w:r>
          </w:p>
        </w:tc>
        <w:tc>
          <w:tcPr>
            <w:tcW w:w="184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lang w:eastAsia="pt-BR"/>
              </w:rPr>
            </w:pPr>
            <w:r w:rsidRPr="00532871">
              <w:rPr>
                <w:color w:val="000000"/>
                <w:sz w:val="19"/>
                <w:szCs w:val="19"/>
                <w:lang w:eastAsia="pt-BR"/>
              </w:rPr>
              <w:t>61,9 ± 6,8</w:t>
            </w:r>
          </w:p>
        </w:tc>
      </w:tr>
      <w:tr w:rsidR="00532871" w:rsidRPr="00532871" w:rsidTr="00532871">
        <w:trPr>
          <w:jc w:val="center"/>
        </w:trPr>
        <w:tc>
          <w:tcPr>
            <w:tcW w:w="2802" w:type="dxa"/>
            <w:tcBorders>
              <w:top w:val="nil"/>
              <w:left w:val="nil"/>
              <w:bottom w:val="nil"/>
              <w:right w:val="nil"/>
            </w:tcBorders>
            <w:shd w:val="clear" w:color="auto" w:fill="auto"/>
            <w:vAlign w:val="bottom"/>
          </w:tcPr>
          <w:p w:rsidR="007778A9" w:rsidRPr="00532871" w:rsidRDefault="007778A9" w:rsidP="00532871">
            <w:pPr>
              <w:spacing w:after="0" w:line="240" w:lineRule="auto"/>
              <w:rPr>
                <w:color w:val="000000"/>
                <w:sz w:val="19"/>
                <w:szCs w:val="19"/>
              </w:rPr>
            </w:pPr>
            <w:r w:rsidRPr="00532871">
              <w:rPr>
                <w:color w:val="000000"/>
                <w:sz w:val="19"/>
                <w:szCs w:val="19"/>
              </w:rPr>
              <w:t>LIN (%)</w:t>
            </w:r>
          </w:p>
        </w:tc>
        <w:tc>
          <w:tcPr>
            <w:tcW w:w="170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lang w:eastAsia="pt-BR"/>
              </w:rPr>
            </w:pPr>
            <w:r w:rsidRPr="00532871">
              <w:rPr>
                <w:color w:val="000000"/>
                <w:sz w:val="19"/>
                <w:szCs w:val="19"/>
                <w:lang w:eastAsia="pt-BR"/>
              </w:rPr>
              <w:t xml:space="preserve">90,0 </w:t>
            </w:r>
            <w:r w:rsidRPr="00532871">
              <w:rPr>
                <w:color w:val="000000"/>
                <w:sz w:val="19"/>
                <w:szCs w:val="19"/>
              </w:rPr>
              <w:t>± 0,03*</w:t>
            </w:r>
          </w:p>
        </w:tc>
        <w:tc>
          <w:tcPr>
            <w:tcW w:w="1842" w:type="dxa"/>
            <w:tcBorders>
              <w:top w:val="nil"/>
              <w:left w:val="nil"/>
              <w:bottom w:val="nil"/>
              <w:right w:val="nil"/>
            </w:tcBorders>
            <w:shd w:val="clear" w:color="auto" w:fill="auto"/>
            <w:vAlign w:val="bottom"/>
          </w:tcPr>
          <w:p w:rsidR="007778A9" w:rsidRPr="00532871" w:rsidRDefault="007778A9" w:rsidP="00532871">
            <w:pPr>
              <w:spacing w:after="0" w:line="240" w:lineRule="auto"/>
              <w:jc w:val="center"/>
              <w:rPr>
                <w:color w:val="000000"/>
                <w:sz w:val="19"/>
                <w:szCs w:val="19"/>
                <w:lang w:eastAsia="pt-BR"/>
              </w:rPr>
            </w:pPr>
            <w:r w:rsidRPr="00532871">
              <w:rPr>
                <w:color w:val="000000"/>
                <w:sz w:val="19"/>
                <w:szCs w:val="19"/>
                <w:lang w:eastAsia="pt-BR"/>
              </w:rPr>
              <w:t xml:space="preserve">91,0 </w:t>
            </w:r>
            <w:r w:rsidRPr="00532871">
              <w:rPr>
                <w:color w:val="000000"/>
                <w:sz w:val="19"/>
                <w:szCs w:val="19"/>
              </w:rPr>
              <w:t>± 0,03</w:t>
            </w:r>
          </w:p>
        </w:tc>
      </w:tr>
      <w:tr w:rsidR="00532871" w:rsidRPr="00532871" w:rsidTr="00532871">
        <w:trPr>
          <w:jc w:val="center"/>
        </w:trPr>
        <w:tc>
          <w:tcPr>
            <w:tcW w:w="2802" w:type="dxa"/>
            <w:tcBorders>
              <w:top w:val="nil"/>
              <w:left w:val="nil"/>
              <w:bottom w:val="nil"/>
              <w:right w:val="nil"/>
            </w:tcBorders>
            <w:shd w:val="clear" w:color="auto" w:fill="auto"/>
            <w:vAlign w:val="bottom"/>
          </w:tcPr>
          <w:p w:rsidR="007778A9" w:rsidRPr="00532871" w:rsidRDefault="007778A9" w:rsidP="00532871">
            <w:pPr>
              <w:spacing w:after="0" w:line="240" w:lineRule="auto"/>
              <w:jc w:val="both"/>
              <w:rPr>
                <w:color w:val="000000"/>
                <w:sz w:val="19"/>
                <w:szCs w:val="19"/>
                <w:lang w:eastAsia="pt-BR"/>
              </w:rPr>
            </w:pPr>
            <w:r w:rsidRPr="00532871">
              <w:rPr>
                <w:color w:val="000000"/>
                <w:sz w:val="19"/>
                <w:szCs w:val="19"/>
                <w:lang w:eastAsia="pt-BR"/>
              </w:rPr>
              <w:t>Integridade de membrana (%)</w:t>
            </w:r>
          </w:p>
        </w:tc>
        <w:tc>
          <w:tcPr>
            <w:tcW w:w="1702" w:type="dxa"/>
            <w:tcBorders>
              <w:top w:val="nil"/>
              <w:left w:val="nil"/>
              <w:bottom w:val="nil"/>
              <w:right w:val="nil"/>
            </w:tcBorders>
            <w:shd w:val="clear" w:color="auto" w:fill="auto"/>
            <w:vAlign w:val="center"/>
          </w:tcPr>
          <w:p w:rsidR="007778A9" w:rsidRPr="00532871" w:rsidRDefault="007778A9" w:rsidP="00532871">
            <w:pPr>
              <w:spacing w:after="0" w:line="240" w:lineRule="auto"/>
              <w:jc w:val="center"/>
              <w:rPr>
                <w:color w:val="000000"/>
                <w:sz w:val="19"/>
                <w:szCs w:val="19"/>
                <w:lang w:eastAsia="pt-BR"/>
              </w:rPr>
            </w:pPr>
            <w:r w:rsidRPr="00532871">
              <w:rPr>
                <w:color w:val="000000"/>
                <w:sz w:val="19"/>
                <w:szCs w:val="19"/>
                <w:lang w:eastAsia="pt-BR"/>
              </w:rPr>
              <w:t>70,8 ± 33,6</w:t>
            </w:r>
          </w:p>
        </w:tc>
        <w:tc>
          <w:tcPr>
            <w:tcW w:w="1842" w:type="dxa"/>
            <w:tcBorders>
              <w:top w:val="nil"/>
              <w:left w:val="nil"/>
              <w:bottom w:val="nil"/>
              <w:right w:val="nil"/>
            </w:tcBorders>
            <w:shd w:val="clear" w:color="auto" w:fill="auto"/>
            <w:vAlign w:val="center"/>
          </w:tcPr>
          <w:p w:rsidR="007778A9" w:rsidRPr="00532871" w:rsidRDefault="007778A9" w:rsidP="00532871">
            <w:pPr>
              <w:spacing w:after="0" w:line="240" w:lineRule="auto"/>
              <w:jc w:val="center"/>
              <w:rPr>
                <w:color w:val="000000"/>
                <w:sz w:val="19"/>
                <w:szCs w:val="19"/>
                <w:lang w:eastAsia="pt-BR"/>
              </w:rPr>
            </w:pPr>
            <w:r w:rsidRPr="00532871">
              <w:rPr>
                <w:color w:val="000000"/>
                <w:sz w:val="19"/>
                <w:szCs w:val="19"/>
                <w:lang w:eastAsia="pt-BR"/>
              </w:rPr>
              <w:t>81,3 ± 8,1</w:t>
            </w:r>
          </w:p>
        </w:tc>
      </w:tr>
      <w:tr w:rsidR="00532871" w:rsidRPr="00532871" w:rsidTr="00532871">
        <w:trPr>
          <w:jc w:val="center"/>
        </w:trPr>
        <w:tc>
          <w:tcPr>
            <w:tcW w:w="2802" w:type="dxa"/>
            <w:tcBorders>
              <w:top w:val="nil"/>
              <w:left w:val="nil"/>
              <w:bottom w:val="single" w:sz="4" w:space="0" w:color="auto"/>
              <w:right w:val="nil"/>
            </w:tcBorders>
            <w:shd w:val="clear" w:color="auto" w:fill="auto"/>
            <w:vAlign w:val="bottom"/>
          </w:tcPr>
          <w:p w:rsidR="007778A9" w:rsidRPr="00532871" w:rsidRDefault="007778A9" w:rsidP="00532871">
            <w:pPr>
              <w:spacing w:after="0" w:line="240" w:lineRule="auto"/>
              <w:rPr>
                <w:color w:val="000000"/>
                <w:sz w:val="19"/>
                <w:szCs w:val="19"/>
              </w:rPr>
            </w:pPr>
            <w:r w:rsidRPr="00532871">
              <w:rPr>
                <w:color w:val="000000"/>
                <w:sz w:val="19"/>
                <w:szCs w:val="19"/>
              </w:rPr>
              <w:t>Taxa de fertilização (%)</w:t>
            </w:r>
          </w:p>
        </w:tc>
        <w:tc>
          <w:tcPr>
            <w:tcW w:w="1702" w:type="dxa"/>
            <w:tcBorders>
              <w:top w:val="nil"/>
              <w:left w:val="nil"/>
              <w:bottom w:val="single" w:sz="4" w:space="0" w:color="auto"/>
              <w:right w:val="nil"/>
            </w:tcBorders>
            <w:shd w:val="clear" w:color="auto" w:fill="auto"/>
          </w:tcPr>
          <w:p w:rsidR="007778A9" w:rsidRPr="00532871" w:rsidRDefault="007778A9" w:rsidP="00532871">
            <w:pPr>
              <w:spacing w:after="0" w:line="240" w:lineRule="auto"/>
              <w:jc w:val="center"/>
              <w:rPr>
                <w:sz w:val="19"/>
                <w:szCs w:val="19"/>
              </w:rPr>
            </w:pPr>
            <w:r w:rsidRPr="00532871">
              <w:rPr>
                <w:sz w:val="19"/>
                <w:szCs w:val="19"/>
              </w:rPr>
              <w:t xml:space="preserve">47,6 </w:t>
            </w:r>
            <w:r w:rsidRPr="00532871">
              <w:rPr>
                <w:rFonts w:cs="Calibri"/>
                <w:sz w:val="19"/>
                <w:szCs w:val="19"/>
              </w:rPr>
              <w:t>±</w:t>
            </w:r>
            <w:r w:rsidRPr="00532871">
              <w:rPr>
                <w:sz w:val="19"/>
                <w:szCs w:val="19"/>
              </w:rPr>
              <w:t xml:space="preserve"> 20,5**</w:t>
            </w:r>
          </w:p>
        </w:tc>
        <w:tc>
          <w:tcPr>
            <w:tcW w:w="1842" w:type="dxa"/>
            <w:tcBorders>
              <w:top w:val="nil"/>
              <w:left w:val="nil"/>
              <w:bottom w:val="single" w:sz="4" w:space="0" w:color="auto"/>
              <w:right w:val="nil"/>
            </w:tcBorders>
            <w:shd w:val="clear" w:color="auto" w:fill="auto"/>
          </w:tcPr>
          <w:p w:rsidR="007778A9" w:rsidRPr="00532871" w:rsidRDefault="007778A9" w:rsidP="00532871">
            <w:pPr>
              <w:spacing w:after="0" w:line="240" w:lineRule="auto"/>
              <w:jc w:val="center"/>
              <w:rPr>
                <w:sz w:val="19"/>
                <w:szCs w:val="19"/>
              </w:rPr>
            </w:pPr>
            <w:r w:rsidRPr="00532871">
              <w:rPr>
                <w:sz w:val="19"/>
                <w:szCs w:val="19"/>
              </w:rPr>
              <w:t xml:space="preserve">75,2 </w:t>
            </w:r>
            <w:r w:rsidRPr="00532871">
              <w:rPr>
                <w:rFonts w:cs="Calibri"/>
                <w:sz w:val="19"/>
                <w:szCs w:val="19"/>
              </w:rPr>
              <w:t>±</w:t>
            </w:r>
            <w:r w:rsidRPr="00532871">
              <w:rPr>
                <w:sz w:val="19"/>
                <w:szCs w:val="19"/>
              </w:rPr>
              <w:t xml:space="preserve"> 4,6</w:t>
            </w:r>
          </w:p>
        </w:tc>
      </w:tr>
    </w:tbl>
    <w:p w:rsidR="007778A9" w:rsidRPr="008A45E4" w:rsidRDefault="007778A9" w:rsidP="007778A9">
      <w:pPr>
        <w:spacing w:after="0"/>
        <w:rPr>
          <w:sz w:val="19"/>
          <w:szCs w:val="19"/>
        </w:rPr>
      </w:pPr>
      <w:r w:rsidRPr="008A45E4">
        <w:rPr>
          <w:sz w:val="19"/>
          <w:szCs w:val="19"/>
        </w:rPr>
        <w:t>*Um dos neomachos não apresentou motilidade</w:t>
      </w:r>
      <w:r>
        <w:rPr>
          <w:sz w:val="19"/>
          <w:szCs w:val="19"/>
        </w:rPr>
        <w:t>, velocidades e LIN</w:t>
      </w:r>
      <w:r w:rsidRPr="008A45E4">
        <w:rPr>
          <w:sz w:val="19"/>
          <w:szCs w:val="19"/>
        </w:rPr>
        <w:t xml:space="preserve"> pelo CASA.</w:t>
      </w:r>
    </w:p>
    <w:p w:rsidR="007778A9" w:rsidRPr="008A45E4" w:rsidRDefault="007778A9" w:rsidP="007778A9">
      <w:pPr>
        <w:rPr>
          <w:sz w:val="19"/>
          <w:szCs w:val="19"/>
        </w:rPr>
      </w:pPr>
      <w:r>
        <w:rPr>
          <w:sz w:val="19"/>
          <w:szCs w:val="19"/>
        </w:rPr>
        <w:t>** Diferença</w:t>
      </w:r>
      <w:r w:rsidRPr="008A45E4">
        <w:rPr>
          <w:sz w:val="19"/>
          <w:szCs w:val="19"/>
        </w:rPr>
        <w:t xml:space="preserve"> estat</w:t>
      </w:r>
      <w:r>
        <w:rPr>
          <w:sz w:val="19"/>
          <w:szCs w:val="19"/>
        </w:rPr>
        <w:t>ística pelo Teste de Mann-Whitney</w:t>
      </w:r>
      <w:r w:rsidRPr="008A45E4">
        <w:rPr>
          <w:sz w:val="19"/>
          <w:szCs w:val="19"/>
        </w:rPr>
        <w:t>.</w:t>
      </w:r>
    </w:p>
    <w:p w:rsidR="007778A9" w:rsidRDefault="007778A9" w:rsidP="007778A9">
      <w:pPr>
        <w:spacing w:after="0"/>
        <w:ind w:firstLine="709"/>
        <w:jc w:val="both"/>
        <w:rPr>
          <w:szCs w:val="21"/>
        </w:rPr>
      </w:pPr>
      <w:r w:rsidRPr="004F28DF">
        <w:rPr>
          <w:szCs w:val="21"/>
        </w:rPr>
        <w:t>Em s</w:t>
      </w:r>
      <w:r>
        <w:rPr>
          <w:szCs w:val="21"/>
        </w:rPr>
        <w:t xml:space="preserve">etembro/2016, a concentração espermática do sêmen de neomachos não diferiu de machos (p &gt; 0,05), embora neomachos tenham apresentado um sêmen menos concentrado. O espermatócrito do mesmo modo, não diferiu entre neomachos e machos </w:t>
      </w:r>
      <w:r>
        <w:rPr>
          <w:noProof/>
          <w:szCs w:val="21"/>
        </w:rPr>
        <w:t>genotípicos</w:t>
      </w:r>
      <w:r>
        <w:rPr>
          <w:szCs w:val="21"/>
        </w:rPr>
        <w:t xml:space="preserve"> (Tabela 2).</w:t>
      </w:r>
    </w:p>
    <w:p w:rsidR="00704C75" w:rsidRDefault="00704C75" w:rsidP="00FC052F">
      <w:pPr>
        <w:spacing w:after="0"/>
        <w:ind w:firstLine="709"/>
        <w:jc w:val="both"/>
        <w:rPr>
          <w:szCs w:val="21"/>
          <w:shd w:val="clear" w:color="auto" w:fill="FFFFFF"/>
        </w:rPr>
      </w:pPr>
      <w:r w:rsidRPr="004D1B81">
        <w:rPr>
          <w:szCs w:val="21"/>
        </w:rPr>
        <w:t>Neomachos e machos</w:t>
      </w:r>
      <w:r>
        <w:rPr>
          <w:szCs w:val="21"/>
        </w:rPr>
        <w:t xml:space="preserve"> </w:t>
      </w:r>
      <w:r>
        <w:rPr>
          <w:noProof/>
          <w:szCs w:val="21"/>
        </w:rPr>
        <w:t>genotípicos</w:t>
      </w:r>
      <w:r>
        <w:rPr>
          <w:szCs w:val="21"/>
        </w:rPr>
        <w:t xml:space="preserve"> apresentaram a mesma motilidade, sendo que as diferentes</w:t>
      </w:r>
      <w:r w:rsidRPr="004D1B81">
        <w:rPr>
          <w:szCs w:val="21"/>
        </w:rPr>
        <w:t xml:space="preserve"> velocidades espermáticas </w:t>
      </w:r>
      <w:r>
        <w:rPr>
          <w:szCs w:val="21"/>
        </w:rPr>
        <w:t xml:space="preserve">e a linearidade </w:t>
      </w:r>
      <w:r w:rsidRPr="004D1B81">
        <w:rPr>
          <w:szCs w:val="21"/>
        </w:rPr>
        <w:t>foram semelha</w:t>
      </w:r>
      <w:r>
        <w:rPr>
          <w:szCs w:val="21"/>
        </w:rPr>
        <w:t>n</w:t>
      </w:r>
      <w:r w:rsidRPr="004D1B81">
        <w:rPr>
          <w:szCs w:val="21"/>
        </w:rPr>
        <w:t>tes entre os d</w:t>
      </w:r>
      <w:r>
        <w:rPr>
          <w:szCs w:val="21"/>
        </w:rPr>
        <w:t>ois grupos de peixes analisados. A integridade da membrana também não apresentou diferenças entre os dois grupos avaliados (Tabela 2).</w:t>
      </w:r>
    </w:p>
    <w:p w:rsidR="00AD413C" w:rsidRDefault="00AD413C" w:rsidP="00FC052F">
      <w:pPr>
        <w:spacing w:after="0"/>
        <w:ind w:firstLine="709"/>
        <w:jc w:val="both"/>
        <w:rPr>
          <w:szCs w:val="21"/>
          <w:shd w:val="clear" w:color="auto" w:fill="FFFFFF"/>
        </w:rPr>
      </w:pPr>
      <w:r>
        <w:rPr>
          <w:szCs w:val="21"/>
          <w:shd w:val="clear" w:color="auto" w:fill="FFFFFF"/>
        </w:rPr>
        <w:t xml:space="preserve">A presença de ductos espermáticos </w:t>
      </w:r>
      <w:r w:rsidRPr="009B3949">
        <w:rPr>
          <w:szCs w:val="21"/>
          <w:shd w:val="clear" w:color="auto" w:fill="FFFFFF"/>
        </w:rPr>
        <w:t>em neomachos de jundiá</w:t>
      </w:r>
      <w:r>
        <w:rPr>
          <w:szCs w:val="21"/>
          <w:shd w:val="clear" w:color="auto" w:fill="FFFFFF"/>
        </w:rPr>
        <w:t xml:space="preserve"> (WEISS, 2016)</w:t>
      </w:r>
      <w:r w:rsidRPr="009B3949">
        <w:rPr>
          <w:szCs w:val="21"/>
          <w:shd w:val="clear" w:color="auto" w:fill="FFFFFF"/>
        </w:rPr>
        <w:t xml:space="preserve"> </w:t>
      </w:r>
      <w:r>
        <w:rPr>
          <w:szCs w:val="21"/>
          <w:shd w:val="clear" w:color="auto" w:fill="FFFFFF"/>
        </w:rPr>
        <w:t xml:space="preserve">permitiu obter valor acima de 70% para a motilidade, em setembro. </w:t>
      </w:r>
      <w:r>
        <w:rPr>
          <w:szCs w:val="21"/>
        </w:rPr>
        <w:t xml:space="preserve">Fitzpatricka et al., (2005) observaram em </w:t>
      </w:r>
      <w:r w:rsidRPr="009B3949">
        <w:rPr>
          <w:i/>
          <w:szCs w:val="21"/>
        </w:rPr>
        <w:t>Oncorhynchus kisutch</w:t>
      </w:r>
      <w:r w:rsidRPr="009B3949">
        <w:rPr>
          <w:szCs w:val="21"/>
        </w:rPr>
        <w:t>,</w:t>
      </w:r>
      <w:r>
        <w:rPr>
          <w:szCs w:val="21"/>
        </w:rPr>
        <w:t xml:space="preserve"> menor </w:t>
      </w:r>
      <w:r w:rsidRPr="00041BAC">
        <w:rPr>
          <w:szCs w:val="21"/>
        </w:rPr>
        <w:t>proporção de esperma</w:t>
      </w:r>
      <w:r>
        <w:rPr>
          <w:szCs w:val="21"/>
        </w:rPr>
        <w:t>tozoides móveis em</w:t>
      </w:r>
      <w:r w:rsidRPr="009B3949">
        <w:rPr>
          <w:szCs w:val="21"/>
        </w:rPr>
        <w:t xml:space="preserve"> sêmen coletado dos testículos de</w:t>
      </w:r>
      <w:r>
        <w:rPr>
          <w:szCs w:val="21"/>
        </w:rPr>
        <w:t xml:space="preserve"> neomachos,</w:t>
      </w:r>
      <w:r w:rsidRPr="009B3949">
        <w:rPr>
          <w:szCs w:val="21"/>
        </w:rPr>
        <w:t xml:space="preserve"> </w:t>
      </w:r>
      <w:r>
        <w:rPr>
          <w:szCs w:val="21"/>
        </w:rPr>
        <w:t>cujo</w:t>
      </w:r>
      <w:r w:rsidRPr="009B3949">
        <w:rPr>
          <w:szCs w:val="21"/>
        </w:rPr>
        <w:t xml:space="preserve"> </w:t>
      </w:r>
      <w:r>
        <w:rPr>
          <w:szCs w:val="21"/>
        </w:rPr>
        <w:t>ductos espermáticos apresentavam desenvolvimento incompleto.</w:t>
      </w:r>
    </w:p>
    <w:p w:rsidR="00FC052F" w:rsidRDefault="00FC052F" w:rsidP="00FC052F">
      <w:pPr>
        <w:spacing w:after="0"/>
        <w:ind w:firstLine="709"/>
        <w:jc w:val="both"/>
        <w:rPr>
          <w:noProof/>
          <w:szCs w:val="21"/>
        </w:rPr>
      </w:pPr>
      <w:r w:rsidRPr="002417E2">
        <w:rPr>
          <w:szCs w:val="21"/>
        </w:rPr>
        <w:t>Sanches et al. (2010</w:t>
      </w:r>
      <w:r>
        <w:rPr>
          <w:szCs w:val="21"/>
        </w:rPr>
        <w:t>a,b</w:t>
      </w:r>
      <w:r w:rsidRPr="002417E2">
        <w:rPr>
          <w:szCs w:val="21"/>
        </w:rPr>
        <w:t xml:space="preserve">), utilizando o software CASA </w:t>
      </w:r>
      <w:r>
        <w:rPr>
          <w:szCs w:val="21"/>
        </w:rPr>
        <w:t xml:space="preserve">para o jundiá </w:t>
      </w:r>
      <w:r w:rsidRPr="002417E2">
        <w:rPr>
          <w:szCs w:val="21"/>
        </w:rPr>
        <w:t>encontraram</w:t>
      </w:r>
      <w:r>
        <w:rPr>
          <w:szCs w:val="21"/>
        </w:rPr>
        <w:t xml:space="preserve"> no</w:t>
      </w:r>
      <w:r w:rsidRPr="002417E2">
        <w:rPr>
          <w:szCs w:val="21"/>
        </w:rPr>
        <w:t xml:space="preserve"> in</w:t>
      </w:r>
      <w:r>
        <w:rPr>
          <w:szCs w:val="21"/>
        </w:rPr>
        <w:t>tervalo de 10-12 s</w:t>
      </w:r>
      <w:r w:rsidRPr="002417E2">
        <w:rPr>
          <w:szCs w:val="21"/>
        </w:rPr>
        <w:t xml:space="preserve"> </w:t>
      </w:r>
      <w:r>
        <w:rPr>
          <w:szCs w:val="21"/>
        </w:rPr>
        <w:t>e aos 15 s após a ativação 69,9 ± 2,5% e 65,4 ± 13,6% de</w:t>
      </w:r>
      <w:r w:rsidRPr="002417E2">
        <w:rPr>
          <w:szCs w:val="21"/>
        </w:rPr>
        <w:t xml:space="preserve"> motilidade</w:t>
      </w:r>
      <w:r>
        <w:rPr>
          <w:szCs w:val="21"/>
        </w:rPr>
        <w:t xml:space="preserve">, respectivamente. </w:t>
      </w:r>
    </w:p>
    <w:p w:rsidR="00FC052F" w:rsidRDefault="00FC052F" w:rsidP="00FC052F">
      <w:pPr>
        <w:spacing w:after="0"/>
        <w:ind w:firstLine="720"/>
        <w:jc w:val="both"/>
        <w:rPr>
          <w:szCs w:val="21"/>
        </w:rPr>
      </w:pPr>
      <w:r>
        <w:rPr>
          <w:szCs w:val="21"/>
        </w:rPr>
        <w:t>O uso de sistemas computadorizados para avaliação espermática tem mostrado que as velocidades, assim como a motilidade, também apresentam correlação positiva com a fertilidade dos peixes (VIVEIROS et a</w:t>
      </w:r>
      <w:r w:rsidR="00C7456E">
        <w:rPr>
          <w:szCs w:val="21"/>
        </w:rPr>
        <w:t>l., 2010</w:t>
      </w:r>
      <w:r>
        <w:rPr>
          <w:szCs w:val="21"/>
        </w:rPr>
        <w:t xml:space="preserve">), sendo que espermatozoides mais rápidos tendem a apresentar maior fertilização (GALLEGO et al., 2013). </w:t>
      </w:r>
    </w:p>
    <w:p w:rsidR="00FC052F" w:rsidRDefault="00FC052F" w:rsidP="00704C75">
      <w:pPr>
        <w:spacing w:after="0"/>
        <w:ind w:firstLine="720"/>
        <w:jc w:val="both"/>
        <w:rPr>
          <w:szCs w:val="21"/>
        </w:rPr>
      </w:pPr>
      <w:r>
        <w:rPr>
          <w:szCs w:val="21"/>
        </w:rPr>
        <w:t>Velocidades próximas</w:t>
      </w:r>
      <w:r w:rsidRPr="003627AE">
        <w:rPr>
          <w:szCs w:val="21"/>
        </w:rPr>
        <w:t xml:space="preserve"> </w:t>
      </w:r>
      <w:r>
        <w:rPr>
          <w:szCs w:val="21"/>
        </w:rPr>
        <w:t xml:space="preserve">às observadas para </w:t>
      </w:r>
      <w:r w:rsidRPr="003627AE">
        <w:rPr>
          <w:szCs w:val="21"/>
        </w:rPr>
        <w:t>neomachos</w:t>
      </w:r>
      <w:r>
        <w:rPr>
          <w:szCs w:val="21"/>
        </w:rPr>
        <w:t xml:space="preserve"> e machos </w:t>
      </w:r>
      <w:r>
        <w:rPr>
          <w:noProof/>
          <w:szCs w:val="21"/>
        </w:rPr>
        <w:t>genotípicos</w:t>
      </w:r>
      <w:r>
        <w:rPr>
          <w:szCs w:val="21"/>
        </w:rPr>
        <w:t xml:space="preserve">, foram descritos para o jundiá por </w:t>
      </w:r>
      <w:r w:rsidRPr="003627AE">
        <w:rPr>
          <w:noProof/>
          <w:szCs w:val="21"/>
        </w:rPr>
        <w:t>Sanches et al. (2010</w:t>
      </w:r>
      <w:r>
        <w:rPr>
          <w:noProof/>
          <w:szCs w:val="21"/>
        </w:rPr>
        <w:t>a</w:t>
      </w:r>
      <w:r w:rsidRPr="003627AE">
        <w:rPr>
          <w:noProof/>
          <w:szCs w:val="21"/>
        </w:rPr>
        <w:t>)</w:t>
      </w:r>
      <w:r>
        <w:rPr>
          <w:szCs w:val="21"/>
        </w:rPr>
        <w:t xml:space="preserve"> </w:t>
      </w:r>
      <w:r>
        <w:rPr>
          <w:noProof/>
          <w:szCs w:val="21"/>
        </w:rPr>
        <w:t>no intervalo de tempo de</w:t>
      </w:r>
      <w:r w:rsidRPr="003627AE">
        <w:rPr>
          <w:noProof/>
          <w:szCs w:val="21"/>
        </w:rPr>
        <w:t xml:space="preserve"> 10-11</w:t>
      </w:r>
      <w:r>
        <w:rPr>
          <w:noProof/>
          <w:szCs w:val="21"/>
        </w:rPr>
        <w:t xml:space="preserve"> </w:t>
      </w:r>
      <w:r w:rsidRPr="003627AE">
        <w:rPr>
          <w:noProof/>
          <w:szCs w:val="21"/>
        </w:rPr>
        <w:t>s</w:t>
      </w:r>
      <w:r>
        <w:rPr>
          <w:noProof/>
          <w:szCs w:val="21"/>
        </w:rPr>
        <w:t xml:space="preserve"> após a ativação</w:t>
      </w:r>
      <w:r>
        <w:rPr>
          <w:szCs w:val="21"/>
        </w:rPr>
        <w:t xml:space="preserve">, </w:t>
      </w:r>
      <w:r>
        <w:rPr>
          <w:szCs w:val="21"/>
        </w:rPr>
        <w:lastRenderedPageBreak/>
        <w:t>respectivamente</w:t>
      </w:r>
      <w:r>
        <w:rPr>
          <w:noProof/>
          <w:szCs w:val="21"/>
        </w:rPr>
        <w:t xml:space="preserve"> </w:t>
      </w:r>
      <w:r>
        <w:rPr>
          <w:szCs w:val="21"/>
        </w:rPr>
        <w:t xml:space="preserve">84,0 </w:t>
      </w:r>
      <w:r w:rsidRPr="003627AE">
        <w:rPr>
          <w:szCs w:val="21"/>
        </w:rPr>
        <w:t>±</w:t>
      </w:r>
      <w:r>
        <w:rPr>
          <w:szCs w:val="21"/>
        </w:rPr>
        <w:t xml:space="preserve"> 1,7; 77,3 </w:t>
      </w:r>
      <w:r w:rsidRPr="003627AE">
        <w:rPr>
          <w:szCs w:val="21"/>
        </w:rPr>
        <w:t>±</w:t>
      </w:r>
      <w:r>
        <w:rPr>
          <w:szCs w:val="21"/>
        </w:rPr>
        <w:t xml:space="preserve"> 1,7</w:t>
      </w:r>
      <w:r w:rsidRPr="003627AE">
        <w:rPr>
          <w:szCs w:val="21"/>
        </w:rPr>
        <w:t xml:space="preserve"> </w:t>
      </w:r>
      <w:r>
        <w:rPr>
          <w:szCs w:val="21"/>
        </w:rPr>
        <w:t xml:space="preserve">e 70,3 ± 1,5 µm/s </w:t>
      </w:r>
      <w:r>
        <w:rPr>
          <w:noProof/>
          <w:szCs w:val="21"/>
        </w:rPr>
        <w:t xml:space="preserve">para a </w:t>
      </w:r>
      <w:r>
        <w:rPr>
          <w:szCs w:val="21"/>
        </w:rPr>
        <w:t xml:space="preserve">VCL, VAP e </w:t>
      </w:r>
      <w:r w:rsidRPr="003627AE">
        <w:rPr>
          <w:szCs w:val="21"/>
        </w:rPr>
        <w:t>VSL</w:t>
      </w:r>
      <w:r>
        <w:rPr>
          <w:szCs w:val="21"/>
        </w:rPr>
        <w:t xml:space="preserve">. Porém, foram maiores que as velocidades também observadas para o jundiá por Sanches et al. (2010b) aos 15 s (77,5 </w:t>
      </w:r>
      <w:r w:rsidRPr="003627AE">
        <w:rPr>
          <w:szCs w:val="21"/>
        </w:rPr>
        <w:t>±</w:t>
      </w:r>
      <w:r>
        <w:rPr>
          <w:szCs w:val="21"/>
        </w:rPr>
        <w:t xml:space="preserve"> 15,0; 58,7 </w:t>
      </w:r>
      <w:r w:rsidRPr="003627AE">
        <w:rPr>
          <w:szCs w:val="21"/>
        </w:rPr>
        <w:t>±</w:t>
      </w:r>
      <w:r>
        <w:rPr>
          <w:szCs w:val="21"/>
        </w:rPr>
        <w:t xml:space="preserve"> 9,0</w:t>
      </w:r>
      <w:r w:rsidRPr="003627AE">
        <w:rPr>
          <w:szCs w:val="21"/>
        </w:rPr>
        <w:t xml:space="preserve"> </w:t>
      </w:r>
      <w:r>
        <w:rPr>
          <w:szCs w:val="21"/>
        </w:rPr>
        <w:t xml:space="preserve">e 46,5 ± 6,6 µm/s), e aos 35 s (66,4 ± 16,1; 42,4 ± 10,5 e 34,3 ± 7,9), após a ativação, </w:t>
      </w:r>
      <w:r>
        <w:rPr>
          <w:noProof/>
          <w:szCs w:val="21"/>
        </w:rPr>
        <w:t xml:space="preserve">para a </w:t>
      </w:r>
      <w:r>
        <w:rPr>
          <w:szCs w:val="21"/>
        </w:rPr>
        <w:t xml:space="preserve">VCL, VAP e </w:t>
      </w:r>
      <w:r w:rsidRPr="003627AE">
        <w:rPr>
          <w:szCs w:val="21"/>
        </w:rPr>
        <w:t>VSL</w:t>
      </w:r>
      <w:r>
        <w:rPr>
          <w:szCs w:val="21"/>
        </w:rPr>
        <w:t xml:space="preserve">. </w:t>
      </w:r>
    </w:p>
    <w:p w:rsidR="00704C75" w:rsidRDefault="00704C75" w:rsidP="00704C75">
      <w:pPr>
        <w:spacing w:after="0"/>
        <w:ind w:firstLine="720"/>
        <w:jc w:val="both"/>
        <w:rPr>
          <w:szCs w:val="21"/>
        </w:rPr>
      </w:pPr>
      <w:r>
        <w:rPr>
          <w:szCs w:val="21"/>
        </w:rPr>
        <w:t>Neste estudo, foi considerado que os espermatozoides de neomachos apresentaram-se como rápidos, mesmo não apresentando altas taxas de fertilização, fato que pode estar relacionado com a perca da v</w:t>
      </w:r>
      <w:r w:rsidRPr="00AE0820">
        <w:rPr>
          <w:szCs w:val="21"/>
        </w:rPr>
        <w:t xml:space="preserve">iabilidade </w:t>
      </w:r>
      <w:r>
        <w:rPr>
          <w:szCs w:val="21"/>
        </w:rPr>
        <w:t xml:space="preserve">dos espermatozoides de jundiá </w:t>
      </w:r>
      <w:r w:rsidRPr="00AE0820">
        <w:rPr>
          <w:szCs w:val="21"/>
        </w:rPr>
        <w:t>de acordo com o tempo após a ativação</w:t>
      </w:r>
      <w:r>
        <w:rPr>
          <w:szCs w:val="21"/>
        </w:rPr>
        <w:t xml:space="preserve"> (SANCHES et al., 2010b). </w:t>
      </w:r>
    </w:p>
    <w:p w:rsidR="00F168C2" w:rsidRPr="00F168C2" w:rsidRDefault="00F168C2" w:rsidP="00F168C2">
      <w:pPr>
        <w:spacing w:after="0"/>
        <w:ind w:firstLine="720"/>
        <w:jc w:val="both"/>
        <w:rPr>
          <w:color w:val="000000"/>
          <w:szCs w:val="21"/>
        </w:rPr>
      </w:pPr>
      <w:r w:rsidRPr="00F168C2">
        <w:rPr>
          <w:color w:val="000000"/>
          <w:szCs w:val="21"/>
        </w:rPr>
        <w:t xml:space="preserve">Sanches et al. (2015), encontrou para </w:t>
      </w:r>
      <w:r w:rsidRPr="002417E2">
        <w:rPr>
          <w:rStyle w:val="nfase"/>
          <w:color w:val="000000"/>
          <w:szCs w:val="21"/>
          <w:bdr w:val="none" w:sz="0" w:space="0" w:color="auto" w:frame="1"/>
        </w:rPr>
        <w:t>Steindachneridion parahybae</w:t>
      </w:r>
      <w:r w:rsidRPr="00F168C2">
        <w:rPr>
          <w:color w:val="000000"/>
          <w:szCs w:val="21"/>
        </w:rPr>
        <w:t xml:space="preserve"> relação negativa entre a linearidade e a motilidade, presumindo que movimentos aleatórios ou circulares resultam em alta motilidade, mas quando predominam espermatozoides com movimento reto a motilidade é baixa, podendo influenciar negativamente na fertilização. Apesar de não ter sido observado para neomachos de </w:t>
      </w:r>
      <w:r w:rsidRPr="00F168C2">
        <w:rPr>
          <w:i/>
          <w:color w:val="000000"/>
          <w:szCs w:val="21"/>
        </w:rPr>
        <w:t>R. quelen</w:t>
      </w:r>
      <w:r w:rsidRPr="00F168C2">
        <w:rPr>
          <w:color w:val="000000"/>
          <w:szCs w:val="21"/>
        </w:rPr>
        <w:t xml:space="preserve"> em setembro/2016, influência da linearidade sobre a motilidade dos espermatozoides foi observado baixa fertilização. </w:t>
      </w:r>
    </w:p>
    <w:p w:rsidR="00C81BBA" w:rsidRDefault="00C81BBA" w:rsidP="006A6A85">
      <w:pPr>
        <w:keepNext/>
        <w:tabs>
          <w:tab w:val="left" w:pos="1920"/>
        </w:tabs>
        <w:spacing w:after="0"/>
        <w:ind w:firstLine="709"/>
        <w:jc w:val="both"/>
        <w:rPr>
          <w:szCs w:val="21"/>
        </w:rPr>
      </w:pPr>
      <w:r>
        <w:rPr>
          <w:szCs w:val="21"/>
        </w:rPr>
        <w:t xml:space="preserve">Os neomachos de </w:t>
      </w:r>
      <w:r w:rsidRPr="00055B57">
        <w:rPr>
          <w:i/>
          <w:szCs w:val="21"/>
        </w:rPr>
        <w:t>R. quelen</w:t>
      </w:r>
      <w:r>
        <w:rPr>
          <w:szCs w:val="21"/>
        </w:rPr>
        <w:t xml:space="preserve">, apresentaram espermatozoides com menor porcentagem de células com morfologia normal e com menor efetividade na fecundação dos ovócitos (p &lt; 0,05), em comparação aos valores obtidos para machos </w:t>
      </w:r>
      <w:r>
        <w:rPr>
          <w:noProof/>
          <w:szCs w:val="21"/>
        </w:rPr>
        <w:t>genotípicos</w:t>
      </w:r>
      <w:r>
        <w:rPr>
          <w:szCs w:val="21"/>
        </w:rPr>
        <w:t xml:space="preserve"> (Tabela 2).</w:t>
      </w:r>
    </w:p>
    <w:p w:rsidR="00F168C2" w:rsidRDefault="00F168C2" w:rsidP="006A6A85">
      <w:pPr>
        <w:keepNext/>
        <w:tabs>
          <w:tab w:val="left" w:pos="1920"/>
        </w:tabs>
        <w:spacing w:after="0"/>
        <w:ind w:firstLine="709"/>
        <w:jc w:val="both"/>
        <w:rPr>
          <w:noProof/>
          <w:szCs w:val="21"/>
        </w:rPr>
      </w:pPr>
      <w:r>
        <w:rPr>
          <w:noProof/>
          <w:szCs w:val="21"/>
        </w:rPr>
        <w:t>A baixa taxa de fertilização, registrada para neomachos de</w:t>
      </w:r>
      <w:r w:rsidRPr="00AB5636">
        <w:rPr>
          <w:noProof/>
          <w:szCs w:val="21"/>
        </w:rPr>
        <w:t xml:space="preserve"> Jundiá (47</w:t>
      </w:r>
      <w:r>
        <w:rPr>
          <w:noProof/>
          <w:szCs w:val="21"/>
        </w:rPr>
        <w:t xml:space="preserve">,6 </w:t>
      </w:r>
      <w:r w:rsidRPr="00F168C2">
        <w:rPr>
          <w:rFonts w:cs="Calibri"/>
          <w:szCs w:val="21"/>
        </w:rPr>
        <w:t>±</w:t>
      </w:r>
      <w:r>
        <w:rPr>
          <w:szCs w:val="21"/>
        </w:rPr>
        <w:t xml:space="preserve"> 20,</w:t>
      </w:r>
      <w:r w:rsidRPr="00AB5636">
        <w:rPr>
          <w:szCs w:val="21"/>
        </w:rPr>
        <w:t>5%)</w:t>
      </w:r>
      <w:r>
        <w:rPr>
          <w:szCs w:val="21"/>
        </w:rPr>
        <w:t xml:space="preserve"> em setembro foi</w:t>
      </w:r>
      <w:r>
        <w:rPr>
          <w:noProof/>
          <w:szCs w:val="21"/>
        </w:rPr>
        <w:t xml:space="preserve"> próxima</w:t>
      </w:r>
      <w:r>
        <w:rPr>
          <w:i/>
          <w:noProof/>
          <w:szCs w:val="21"/>
        </w:rPr>
        <w:t xml:space="preserve"> </w:t>
      </w:r>
      <w:r>
        <w:rPr>
          <w:noProof/>
          <w:szCs w:val="21"/>
        </w:rPr>
        <w:t xml:space="preserve">à encontrada por Rodina et al. (2008) para </w:t>
      </w:r>
      <w:r w:rsidRPr="00AB5636">
        <w:rPr>
          <w:noProof/>
          <w:szCs w:val="21"/>
        </w:rPr>
        <w:t>neomacho</w:t>
      </w:r>
      <w:r>
        <w:rPr>
          <w:noProof/>
          <w:szCs w:val="21"/>
        </w:rPr>
        <w:t>s</w:t>
      </w:r>
      <w:r w:rsidRPr="00AB5636">
        <w:rPr>
          <w:noProof/>
          <w:szCs w:val="21"/>
        </w:rPr>
        <w:t xml:space="preserve"> de </w:t>
      </w:r>
      <w:r w:rsidRPr="00AB5636">
        <w:rPr>
          <w:i/>
          <w:noProof/>
          <w:szCs w:val="21"/>
        </w:rPr>
        <w:t xml:space="preserve">Perca fluviatis </w:t>
      </w:r>
      <w:r w:rsidRPr="001D4601">
        <w:rPr>
          <w:noProof/>
          <w:szCs w:val="21"/>
        </w:rPr>
        <w:t>L</w:t>
      </w:r>
      <w:r w:rsidRPr="00AB5636">
        <w:rPr>
          <w:i/>
          <w:noProof/>
          <w:szCs w:val="21"/>
        </w:rPr>
        <w:t>.</w:t>
      </w:r>
      <w:r>
        <w:rPr>
          <w:szCs w:val="21"/>
        </w:rPr>
        <w:t xml:space="preserve"> (</w:t>
      </w:r>
      <w:r>
        <w:rPr>
          <w:noProof/>
          <w:szCs w:val="21"/>
        </w:rPr>
        <w:t>42,5%)</w:t>
      </w:r>
      <w:r w:rsidRPr="00AB5636">
        <w:rPr>
          <w:noProof/>
          <w:szCs w:val="21"/>
        </w:rPr>
        <w:t>,</w:t>
      </w:r>
      <w:r>
        <w:rPr>
          <w:noProof/>
          <w:szCs w:val="21"/>
        </w:rPr>
        <w:t xml:space="preserve"> mas ao contrário do resgistrado por esses autores, no presente estudo houve diferença em relação a taxa de fertilização de neomachos e de machos genotípicos.</w:t>
      </w:r>
    </w:p>
    <w:p w:rsidR="006A6A85" w:rsidRDefault="006A6A85" w:rsidP="006A6A85">
      <w:pPr>
        <w:spacing w:after="0"/>
        <w:ind w:firstLine="709"/>
        <w:jc w:val="both"/>
        <w:rPr>
          <w:noProof/>
          <w:szCs w:val="21"/>
        </w:rPr>
      </w:pPr>
      <w:r>
        <w:rPr>
          <w:noProof/>
          <w:szCs w:val="21"/>
        </w:rPr>
        <w:t>A elevada integridade da membrana dos espermatozoides de</w:t>
      </w:r>
      <w:r w:rsidRPr="009340FC">
        <w:rPr>
          <w:noProof/>
          <w:szCs w:val="21"/>
        </w:rPr>
        <w:t xml:space="preserve"> neomachos</w:t>
      </w:r>
      <w:r>
        <w:rPr>
          <w:noProof/>
          <w:szCs w:val="21"/>
        </w:rPr>
        <w:t xml:space="preserve"> e de machos genotípicos foi similar ao valor observado por Bombardelli et al. (2006) para </w:t>
      </w:r>
      <w:r w:rsidRPr="00407716">
        <w:rPr>
          <w:i/>
          <w:noProof/>
          <w:szCs w:val="21"/>
        </w:rPr>
        <w:t>R. que</w:t>
      </w:r>
      <w:r>
        <w:rPr>
          <w:i/>
          <w:noProof/>
          <w:szCs w:val="21"/>
        </w:rPr>
        <w:t>len</w:t>
      </w:r>
      <w:r>
        <w:rPr>
          <w:noProof/>
          <w:szCs w:val="21"/>
        </w:rPr>
        <w:t xml:space="preserve">. </w:t>
      </w:r>
    </w:p>
    <w:p w:rsidR="006A6A85" w:rsidRPr="00943C2A" w:rsidRDefault="006A6A85" w:rsidP="006A6A85">
      <w:pPr>
        <w:spacing w:after="0"/>
        <w:ind w:firstLine="709"/>
        <w:jc w:val="both"/>
        <w:rPr>
          <w:noProof/>
          <w:szCs w:val="21"/>
        </w:rPr>
      </w:pPr>
      <w:r>
        <w:rPr>
          <w:noProof/>
          <w:szCs w:val="21"/>
        </w:rPr>
        <w:t xml:space="preserve">De acordo com </w:t>
      </w:r>
      <w:r w:rsidRPr="007D215F">
        <w:rPr>
          <w:noProof/>
          <w:szCs w:val="21"/>
        </w:rPr>
        <w:t>Sanches et al. (2011</w:t>
      </w:r>
      <w:r>
        <w:rPr>
          <w:noProof/>
          <w:szCs w:val="21"/>
        </w:rPr>
        <w:t>b) a determinação da integridade apresenta importantes implicações para o número total de espermatozoides viáveis produzidos por um reprodutor, o que possibilita a seleção e manutenção de estoque de animais com maior potencial reprodutivo. No entanto, apenas esta avaliação para a identificação de um futuro reprodutor não é segura, pois os espermatozoides mesmo apresentando membrana íntegra, podem apresentar defeitos morfológicos que comprometem a fertilização.</w:t>
      </w:r>
    </w:p>
    <w:p w:rsidR="008741C7" w:rsidRPr="004D1B81" w:rsidRDefault="00D71804" w:rsidP="005B3F03">
      <w:pPr>
        <w:spacing w:after="0"/>
        <w:ind w:firstLine="709"/>
        <w:jc w:val="both"/>
        <w:rPr>
          <w:noProof/>
          <w:szCs w:val="21"/>
        </w:rPr>
      </w:pPr>
      <w:r>
        <w:rPr>
          <w:noProof/>
          <w:szCs w:val="21"/>
        </w:rPr>
        <w:t xml:space="preserve">Segundo Melo-Maciel et al. (2012) </w:t>
      </w:r>
      <w:r w:rsidRPr="00413585">
        <w:rPr>
          <w:szCs w:val="21"/>
        </w:rPr>
        <w:t>a morfologia</w:t>
      </w:r>
      <w:r>
        <w:rPr>
          <w:szCs w:val="21"/>
        </w:rPr>
        <w:t xml:space="preserve"> espermática</w:t>
      </w:r>
      <w:r w:rsidRPr="00413585">
        <w:rPr>
          <w:szCs w:val="21"/>
        </w:rPr>
        <w:t xml:space="preserve"> está </w:t>
      </w:r>
      <w:r>
        <w:rPr>
          <w:szCs w:val="21"/>
        </w:rPr>
        <w:t xml:space="preserve">diretamente </w:t>
      </w:r>
      <w:r w:rsidRPr="00413585">
        <w:rPr>
          <w:szCs w:val="21"/>
        </w:rPr>
        <w:t>relacionada ao potencial fertilizante dos espermatozoides</w:t>
      </w:r>
      <w:r>
        <w:rPr>
          <w:szCs w:val="21"/>
        </w:rPr>
        <w:t>,</w:t>
      </w:r>
      <w:r w:rsidRPr="00413585">
        <w:rPr>
          <w:szCs w:val="21"/>
        </w:rPr>
        <w:t xml:space="preserve"> e pode auxiliar na definição</w:t>
      </w:r>
      <w:r>
        <w:rPr>
          <w:szCs w:val="21"/>
        </w:rPr>
        <w:t xml:space="preserve"> da qualidade seminal</w:t>
      </w:r>
      <w:r w:rsidRPr="00413585">
        <w:rPr>
          <w:szCs w:val="21"/>
        </w:rPr>
        <w:t>.</w:t>
      </w:r>
      <w:r w:rsidR="005B3F03">
        <w:rPr>
          <w:noProof/>
          <w:szCs w:val="21"/>
        </w:rPr>
        <w:t xml:space="preserve"> </w:t>
      </w:r>
      <w:r>
        <w:rPr>
          <w:noProof/>
          <w:szCs w:val="21"/>
        </w:rPr>
        <w:t>Solis-Murgas et al. (2011) ressaltaram a importância da avaliação da morfologia de espermatozoides, para explicar o insucesso de reprodutores tidos como aptos à reprodução, após análises convencionais de motilidade.</w:t>
      </w:r>
    </w:p>
    <w:p w:rsidR="00D71804" w:rsidRPr="009B3949" w:rsidRDefault="00D71804" w:rsidP="00D71804">
      <w:pPr>
        <w:ind w:firstLine="709"/>
        <w:jc w:val="both"/>
        <w:rPr>
          <w:szCs w:val="21"/>
          <w:shd w:val="clear" w:color="auto" w:fill="FFFFFF"/>
        </w:rPr>
      </w:pPr>
      <w:r w:rsidRPr="009B3949">
        <w:rPr>
          <w:szCs w:val="21"/>
        </w:rPr>
        <w:t>Os resultados sugerem</w:t>
      </w:r>
      <w:r>
        <w:rPr>
          <w:szCs w:val="21"/>
        </w:rPr>
        <w:t xml:space="preserve"> </w:t>
      </w:r>
      <w:r w:rsidRPr="009B3949">
        <w:rPr>
          <w:szCs w:val="21"/>
        </w:rPr>
        <w:t xml:space="preserve">que os neomachos apresentaram sêmen similar ao de machos genotípicos, mas diferenças encontradas </w:t>
      </w:r>
      <w:r>
        <w:rPr>
          <w:szCs w:val="21"/>
        </w:rPr>
        <w:t xml:space="preserve">para a taxa de fertilização e normalidade morfológica </w:t>
      </w:r>
      <w:r w:rsidRPr="009B3949">
        <w:rPr>
          <w:szCs w:val="21"/>
        </w:rPr>
        <w:t>i</w:t>
      </w:r>
      <w:r w:rsidRPr="009B3949">
        <w:rPr>
          <w:szCs w:val="21"/>
          <w:shd w:val="clear" w:color="auto" w:fill="FFFFFF"/>
        </w:rPr>
        <w:t xml:space="preserve">ndicam que o tratamento hormonal usado para a </w:t>
      </w:r>
      <w:r>
        <w:rPr>
          <w:szCs w:val="21"/>
          <w:shd w:val="clear" w:color="auto" w:fill="FFFFFF"/>
        </w:rPr>
        <w:t>in</w:t>
      </w:r>
      <w:r w:rsidRPr="009B3949">
        <w:rPr>
          <w:szCs w:val="21"/>
          <w:shd w:val="clear" w:color="auto" w:fill="FFFFFF"/>
        </w:rPr>
        <w:t xml:space="preserve">versão do sexo </w:t>
      </w:r>
      <w:r>
        <w:rPr>
          <w:szCs w:val="21"/>
          <w:shd w:val="clear" w:color="auto" w:fill="FFFFFF"/>
        </w:rPr>
        <w:t>afetou</w:t>
      </w:r>
      <w:r w:rsidRPr="009B3949">
        <w:rPr>
          <w:szCs w:val="21"/>
          <w:shd w:val="clear" w:color="auto" w:fill="FFFFFF"/>
        </w:rPr>
        <w:t xml:space="preserve"> a qualidade dos espermatozoides. </w:t>
      </w:r>
    </w:p>
    <w:p w:rsidR="00376441" w:rsidRPr="00C86FAA" w:rsidRDefault="0084602C" w:rsidP="00D71804">
      <w:pPr>
        <w:spacing w:line="240" w:lineRule="auto"/>
        <w:jc w:val="both"/>
        <w:rPr>
          <w:b/>
          <w:szCs w:val="24"/>
        </w:rPr>
      </w:pPr>
      <w:r w:rsidRPr="00C86FAA">
        <w:rPr>
          <w:b/>
          <w:szCs w:val="24"/>
        </w:rPr>
        <w:t>4- CONCLUSÃO</w:t>
      </w:r>
    </w:p>
    <w:p w:rsidR="00491C09" w:rsidRDefault="00491C09" w:rsidP="00D71804">
      <w:pPr>
        <w:ind w:firstLine="709"/>
        <w:jc w:val="both"/>
        <w:rPr>
          <w:noProof/>
          <w:szCs w:val="21"/>
        </w:rPr>
      </w:pPr>
      <w:r>
        <w:rPr>
          <w:noProof/>
          <w:szCs w:val="21"/>
        </w:rPr>
        <w:t xml:space="preserve">Neomachos de </w:t>
      </w:r>
      <w:r w:rsidRPr="00347499">
        <w:rPr>
          <w:i/>
          <w:noProof/>
          <w:szCs w:val="21"/>
        </w:rPr>
        <w:t>Rhamdia quelen</w:t>
      </w:r>
      <w:r>
        <w:rPr>
          <w:noProof/>
          <w:szCs w:val="21"/>
        </w:rPr>
        <w:t xml:space="preserve"> apresentaram liberação do sêmen da mesma forma que os machos genotípicos, e seu sêmen foi capaz de realizar a fecundação d</w:t>
      </w:r>
      <w:r w:rsidR="005B3F03">
        <w:rPr>
          <w:noProof/>
          <w:szCs w:val="21"/>
        </w:rPr>
        <w:t>e ovócitos e gerar descendentes, apesar de apresentar menor porcentagem de espermatozoides normais.</w:t>
      </w:r>
    </w:p>
    <w:p w:rsidR="00376441" w:rsidRPr="00C86FAA" w:rsidRDefault="00376441" w:rsidP="00D66241">
      <w:pPr>
        <w:pStyle w:val="Ttulo1"/>
        <w:spacing w:before="0" w:after="0"/>
        <w:jc w:val="both"/>
        <w:rPr>
          <w:rFonts w:ascii="Times New Roman" w:hAnsi="Times New Roman" w:cs="Times New Roman"/>
          <w:caps/>
          <w:sz w:val="24"/>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5- AGRADECIMENTOS</w:t>
      </w:r>
    </w:p>
    <w:p w:rsidR="00376441" w:rsidRPr="00C86FAA" w:rsidRDefault="00376441" w:rsidP="00D66241">
      <w:pPr>
        <w:pStyle w:val="Ttulo1"/>
        <w:spacing w:before="0" w:after="0"/>
        <w:jc w:val="both"/>
        <w:rPr>
          <w:rFonts w:ascii="Times New Roman" w:hAnsi="Times New Roman" w:cs="Times New Roman"/>
          <w:caps/>
          <w:sz w:val="24"/>
          <w:szCs w:val="24"/>
        </w:rPr>
      </w:pPr>
    </w:p>
    <w:p w:rsidR="00C86FAA" w:rsidRPr="00C86FAA" w:rsidRDefault="00A5679B" w:rsidP="00D73C82">
      <w:pPr>
        <w:spacing w:after="0" w:line="240" w:lineRule="auto"/>
        <w:ind w:firstLine="567"/>
        <w:jc w:val="both"/>
        <w:rPr>
          <w:color w:val="000000"/>
          <w:szCs w:val="24"/>
        </w:rPr>
      </w:pPr>
      <w:r>
        <w:rPr>
          <w:color w:val="000000"/>
          <w:szCs w:val="24"/>
        </w:rPr>
        <w:t>Ao Jurandir Bernardes pela contribuição com as análises de motilidade do CASA, a Universidade Federal de Santa Catarina/UFSC e a CAPES pela concessão da bolsa de estudos.</w:t>
      </w:r>
    </w:p>
    <w:p w:rsidR="00C86FAA" w:rsidRPr="00C86FAA" w:rsidRDefault="00C86FAA" w:rsidP="00D66241">
      <w:pPr>
        <w:spacing w:after="0" w:line="240" w:lineRule="auto"/>
        <w:ind w:firstLine="284"/>
        <w:jc w:val="both"/>
        <w:rPr>
          <w:szCs w:val="24"/>
          <w:lang w:eastAsia="pt-BR"/>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6- REFERÊNCIA BIBLIOGRÁFICA</w:t>
      </w:r>
    </w:p>
    <w:p w:rsidR="00376441" w:rsidRPr="00C86FAA" w:rsidRDefault="00376441" w:rsidP="005F2D68">
      <w:pPr>
        <w:pStyle w:val="Ttulo1"/>
        <w:spacing w:before="0" w:after="0"/>
        <w:jc w:val="both"/>
        <w:rPr>
          <w:rFonts w:ascii="Times New Roman" w:hAnsi="Times New Roman" w:cs="Times New Roman"/>
          <w:b w:val="0"/>
          <w:color w:val="000000"/>
          <w:sz w:val="24"/>
          <w:szCs w:val="24"/>
        </w:rPr>
      </w:pPr>
    </w:p>
    <w:p w:rsidR="005F2D68" w:rsidRPr="005400C0" w:rsidRDefault="005F2D68" w:rsidP="005400C0">
      <w:pPr>
        <w:autoSpaceDE w:val="0"/>
        <w:autoSpaceDN w:val="0"/>
        <w:adjustRightInd w:val="0"/>
        <w:spacing w:after="0" w:line="240" w:lineRule="auto"/>
        <w:jc w:val="both"/>
        <w:rPr>
          <w:szCs w:val="19"/>
          <w:shd w:val="clear" w:color="auto" w:fill="FFFFFF"/>
        </w:rPr>
      </w:pPr>
      <w:r w:rsidRPr="007F1AE1">
        <w:rPr>
          <w:szCs w:val="19"/>
          <w:shd w:val="clear" w:color="auto" w:fill="FFFFFF"/>
        </w:rPr>
        <w:t xml:space="preserve">BALDISSEROTO, B. </w:t>
      </w:r>
      <w:r w:rsidRPr="007F1AE1">
        <w:rPr>
          <w:b/>
          <w:szCs w:val="19"/>
          <w:shd w:val="clear" w:color="auto" w:fill="FFFFFF"/>
        </w:rPr>
        <w:t>Biologia do jundiá</w:t>
      </w:r>
      <w:r w:rsidRPr="007F1AE1">
        <w:rPr>
          <w:szCs w:val="19"/>
          <w:shd w:val="clear" w:color="auto" w:fill="FFFFFF"/>
        </w:rPr>
        <w:t>. In: BALDISSEROTO, B.; RADÜNZ NETO, J. (Eds.)</w:t>
      </w:r>
      <w:r>
        <w:rPr>
          <w:rStyle w:val="apple-converted-space"/>
          <w:szCs w:val="19"/>
          <w:shd w:val="clear" w:color="auto" w:fill="FFFFFF"/>
        </w:rPr>
        <w:t xml:space="preserve"> </w:t>
      </w:r>
      <w:r w:rsidRPr="007F1AE1">
        <w:rPr>
          <w:b/>
          <w:bCs/>
          <w:szCs w:val="19"/>
          <w:shd w:val="clear" w:color="auto" w:fill="FFFFFF"/>
        </w:rPr>
        <w:t>Criação de jundiá</w:t>
      </w:r>
      <w:r w:rsidRPr="007F1AE1">
        <w:rPr>
          <w:szCs w:val="19"/>
          <w:shd w:val="clear" w:color="auto" w:fill="FFFFFF"/>
        </w:rPr>
        <w:t xml:space="preserve">. </w:t>
      </w:r>
      <w:r w:rsidRPr="005400C0">
        <w:rPr>
          <w:szCs w:val="19"/>
          <w:shd w:val="clear" w:color="auto" w:fill="FFFFFF"/>
        </w:rPr>
        <w:t xml:space="preserve">Santa Maria: Editora UFSM, 2004. 232p. </w:t>
      </w:r>
    </w:p>
    <w:p w:rsidR="005F2D68" w:rsidRPr="005F2D68" w:rsidRDefault="005F2D68" w:rsidP="005400C0">
      <w:pPr>
        <w:spacing w:after="0" w:line="240" w:lineRule="auto"/>
        <w:jc w:val="both"/>
        <w:rPr>
          <w:color w:val="000000"/>
          <w:szCs w:val="19"/>
        </w:rPr>
      </w:pPr>
      <w:r w:rsidRPr="005F2D68">
        <w:rPr>
          <w:color w:val="000000"/>
          <w:szCs w:val="19"/>
        </w:rPr>
        <w:t xml:space="preserve">AMARAL-JUNIOR, H. </w:t>
      </w:r>
      <w:r w:rsidR="0092658F">
        <w:rPr>
          <w:color w:val="000000"/>
          <w:szCs w:val="19"/>
        </w:rPr>
        <w:t xml:space="preserve">NUNES, </w:t>
      </w:r>
      <w:r w:rsidR="0092658F">
        <w:t>M. F. S.; GARCIA, S</w:t>
      </w:r>
      <w:r w:rsidRPr="005F2D68">
        <w:rPr>
          <w:color w:val="000000"/>
          <w:szCs w:val="19"/>
        </w:rPr>
        <w:t xml:space="preserve">. Análise de diferentes dosagens de hormônio na ração, para definição de um protocolo de feminilização do jundiá </w:t>
      </w:r>
      <w:r w:rsidRPr="005F2D68">
        <w:rPr>
          <w:i/>
          <w:color w:val="000000"/>
          <w:szCs w:val="19"/>
        </w:rPr>
        <w:t>Rhamdia quelen</w:t>
      </w:r>
      <w:r w:rsidRPr="005F2D68">
        <w:rPr>
          <w:color w:val="000000"/>
          <w:szCs w:val="19"/>
        </w:rPr>
        <w:t xml:space="preserve">. </w:t>
      </w:r>
      <w:r w:rsidRPr="005F2D68">
        <w:rPr>
          <w:b/>
          <w:color w:val="000000"/>
          <w:szCs w:val="19"/>
        </w:rPr>
        <w:t>Revista Eletrônica de Veterinária</w:t>
      </w:r>
      <w:r w:rsidRPr="005F2D68">
        <w:rPr>
          <w:color w:val="000000"/>
          <w:szCs w:val="19"/>
        </w:rPr>
        <w:t xml:space="preserve">, v. 9, n. 12, dez. </w:t>
      </w:r>
      <w:r w:rsidR="00A854CC">
        <w:rPr>
          <w:color w:val="000000"/>
          <w:szCs w:val="19"/>
        </w:rPr>
        <w:t>2008a.</w:t>
      </w:r>
    </w:p>
    <w:p w:rsidR="006D6CFE" w:rsidRPr="007F1AE1" w:rsidRDefault="006D6CFE" w:rsidP="005400C0">
      <w:pPr>
        <w:spacing w:after="0" w:line="240" w:lineRule="auto"/>
        <w:jc w:val="both"/>
        <w:rPr>
          <w:szCs w:val="19"/>
          <w:shd w:val="clear" w:color="auto" w:fill="FFFFFF"/>
        </w:rPr>
      </w:pPr>
      <w:r w:rsidRPr="007F1AE1">
        <w:rPr>
          <w:szCs w:val="19"/>
          <w:shd w:val="clear" w:color="auto" w:fill="FFFFFF"/>
        </w:rPr>
        <w:t xml:space="preserve">ARRUDA, R. P. et al. Métodos de avaliação da morfologia e função espermática: momento atual e desafios futuros. </w:t>
      </w:r>
      <w:r w:rsidRPr="007F1AE1">
        <w:rPr>
          <w:b/>
          <w:szCs w:val="19"/>
          <w:shd w:val="clear" w:color="auto" w:fill="FFFFFF"/>
        </w:rPr>
        <w:t>Revista Brasileira Reprodução Animal</w:t>
      </w:r>
      <w:r w:rsidRPr="007F1AE1">
        <w:rPr>
          <w:szCs w:val="19"/>
          <w:shd w:val="clear" w:color="auto" w:fill="FFFFFF"/>
        </w:rPr>
        <w:t>, v. 35, n. 2, p. 145-151, 2011.</w:t>
      </w:r>
    </w:p>
    <w:p w:rsidR="0092658F" w:rsidRDefault="005F2D68" w:rsidP="005400C0">
      <w:pPr>
        <w:autoSpaceDE w:val="0"/>
        <w:autoSpaceDN w:val="0"/>
        <w:adjustRightInd w:val="0"/>
        <w:spacing w:after="0" w:line="240" w:lineRule="auto"/>
        <w:jc w:val="both"/>
        <w:rPr>
          <w:szCs w:val="19"/>
        </w:rPr>
      </w:pPr>
      <w:r w:rsidRPr="005F2D68">
        <w:rPr>
          <w:szCs w:val="19"/>
        </w:rPr>
        <w:t>BOMBARDELLI, R. A.</w:t>
      </w:r>
      <w:r w:rsidR="0092658F">
        <w:rPr>
          <w:szCs w:val="19"/>
        </w:rPr>
        <w:t xml:space="preserve"> MORSCHBACHER, E. F.; CAMPAGNOLO, R.; SANCHES, E. A.; SYPERRECK, M. A.</w:t>
      </w:r>
      <w:r w:rsidRPr="005F2D68">
        <w:rPr>
          <w:szCs w:val="19"/>
        </w:rPr>
        <w:t xml:space="preserve"> </w:t>
      </w:r>
      <w:r w:rsidRPr="007F1AE1">
        <w:rPr>
          <w:szCs w:val="19"/>
        </w:rPr>
        <w:t xml:space="preserve">Dose inseminante para fertilização artificial de ovócitos de jundiá </w:t>
      </w:r>
      <w:r w:rsidRPr="007F1AE1">
        <w:rPr>
          <w:i/>
          <w:szCs w:val="19"/>
        </w:rPr>
        <w:t>Rhamdia quelen</w:t>
      </w:r>
      <w:r>
        <w:rPr>
          <w:szCs w:val="19"/>
        </w:rPr>
        <w:t xml:space="preserve"> (Quoy &amp; Gaimard</w:t>
      </w:r>
      <w:r w:rsidRPr="007F1AE1">
        <w:rPr>
          <w:szCs w:val="19"/>
        </w:rPr>
        <w:t xml:space="preserve">, 1824). </w:t>
      </w:r>
      <w:r w:rsidRPr="006B2A20">
        <w:rPr>
          <w:b/>
          <w:szCs w:val="19"/>
        </w:rPr>
        <w:t>Revista Brasileira de Zootecnia</w:t>
      </w:r>
      <w:r w:rsidRPr="006B2A20">
        <w:rPr>
          <w:szCs w:val="19"/>
        </w:rPr>
        <w:t xml:space="preserve">, Viçosa, </w:t>
      </w:r>
      <w:r>
        <w:rPr>
          <w:szCs w:val="19"/>
        </w:rPr>
        <w:t>v. 35, n. 4, p. 1251-125, 2006.</w:t>
      </w:r>
      <w:r w:rsidR="0092658F">
        <w:rPr>
          <w:szCs w:val="19"/>
        </w:rPr>
        <w:t xml:space="preserve"> </w:t>
      </w:r>
    </w:p>
    <w:p w:rsidR="006D6CFE" w:rsidRPr="005400C0" w:rsidRDefault="006D6CFE" w:rsidP="005400C0">
      <w:pPr>
        <w:autoSpaceDE w:val="0"/>
        <w:autoSpaceDN w:val="0"/>
        <w:adjustRightInd w:val="0"/>
        <w:spacing w:after="0" w:line="240" w:lineRule="auto"/>
        <w:jc w:val="both"/>
        <w:rPr>
          <w:szCs w:val="19"/>
          <w:lang w:val="en-US"/>
        </w:rPr>
      </w:pPr>
      <w:r w:rsidRPr="007F1AE1">
        <w:rPr>
          <w:szCs w:val="19"/>
        </w:rPr>
        <w:t xml:space="preserve">CBRA. </w:t>
      </w:r>
      <w:r w:rsidRPr="007F1AE1">
        <w:rPr>
          <w:b/>
          <w:szCs w:val="19"/>
        </w:rPr>
        <w:t>Manual para exame andrológico e avaliação de sêmen animal.</w:t>
      </w:r>
      <w:r>
        <w:rPr>
          <w:szCs w:val="19"/>
        </w:rPr>
        <w:t xml:space="preserve"> </w:t>
      </w:r>
      <w:r w:rsidRPr="005400C0">
        <w:rPr>
          <w:szCs w:val="19"/>
          <w:lang w:val="en-US"/>
        </w:rPr>
        <w:t>Belo Horizonte: Colégio Brasileiro de Reprodução Animal, 1998. 49p.</w:t>
      </w:r>
    </w:p>
    <w:p w:rsidR="00613907" w:rsidRPr="008B7D59" w:rsidRDefault="0092658F" w:rsidP="005400C0">
      <w:pPr>
        <w:autoSpaceDE w:val="0"/>
        <w:autoSpaceDN w:val="0"/>
        <w:adjustRightInd w:val="0"/>
        <w:spacing w:after="0" w:line="240" w:lineRule="auto"/>
        <w:jc w:val="both"/>
        <w:rPr>
          <w:szCs w:val="19"/>
          <w:lang w:val="en-US"/>
        </w:rPr>
      </w:pPr>
      <w:r>
        <w:rPr>
          <w:szCs w:val="19"/>
          <w:lang w:val="en-US"/>
        </w:rPr>
        <w:t xml:space="preserve">FITZPATRICKA, J. L. </w:t>
      </w:r>
      <w:r w:rsidR="008B7D59">
        <w:rPr>
          <w:szCs w:val="19"/>
          <w:lang w:val="en-US"/>
        </w:rPr>
        <w:t>HENRY, J. C.; LILEY, N. R.; DEVLIN, R. H.</w:t>
      </w:r>
      <w:r w:rsidR="00613907" w:rsidRPr="009504EA">
        <w:rPr>
          <w:szCs w:val="19"/>
          <w:lang w:val="en-US"/>
        </w:rPr>
        <w:t xml:space="preserve"> </w:t>
      </w:r>
      <w:r w:rsidR="00613907" w:rsidRPr="00335FFE">
        <w:rPr>
          <w:szCs w:val="19"/>
          <w:lang w:val="en-US"/>
        </w:rPr>
        <w:t>Sperm characteristics and fertilization success of masculinized coho</w:t>
      </w:r>
      <w:r w:rsidR="00613907">
        <w:rPr>
          <w:szCs w:val="19"/>
          <w:lang w:val="en-US"/>
        </w:rPr>
        <w:t xml:space="preserve"> </w:t>
      </w:r>
      <w:r w:rsidR="00613907" w:rsidRPr="00335FFE">
        <w:rPr>
          <w:szCs w:val="19"/>
          <w:lang w:val="en-US"/>
        </w:rPr>
        <w:t>salmon (</w:t>
      </w:r>
      <w:r w:rsidR="00613907" w:rsidRPr="00335FFE">
        <w:rPr>
          <w:i/>
          <w:szCs w:val="19"/>
          <w:lang w:val="en-US"/>
        </w:rPr>
        <w:t>Oncorhynchus kisutch</w:t>
      </w:r>
      <w:r w:rsidR="00613907" w:rsidRPr="00335FFE">
        <w:rPr>
          <w:szCs w:val="19"/>
          <w:lang w:val="en-US"/>
        </w:rPr>
        <w:t>)</w:t>
      </w:r>
      <w:r w:rsidR="00613907">
        <w:rPr>
          <w:szCs w:val="19"/>
          <w:lang w:val="en-US"/>
        </w:rPr>
        <w:t xml:space="preserve">. </w:t>
      </w:r>
      <w:r w:rsidR="00613907" w:rsidRPr="00611A3D">
        <w:rPr>
          <w:b/>
          <w:szCs w:val="19"/>
          <w:lang w:val="en-US"/>
        </w:rPr>
        <w:t>Aquaculture</w:t>
      </w:r>
      <w:r w:rsidR="00613907" w:rsidRPr="00611A3D">
        <w:rPr>
          <w:szCs w:val="19"/>
          <w:lang w:val="en-US"/>
        </w:rPr>
        <w:t>, v. 249, p. 459-468, 2005.</w:t>
      </w:r>
      <w:r w:rsidR="008B7D59" w:rsidRPr="008B7D59">
        <w:rPr>
          <w:rFonts w:ascii="Arial" w:hAnsi="Arial" w:cs="Arial"/>
          <w:b/>
          <w:bCs/>
          <w:smallCaps/>
          <w:color w:val="555555"/>
          <w:sz w:val="22"/>
          <w:shd w:val="clear" w:color="auto" w:fill="FFFFFF"/>
          <w:lang w:val="en-US"/>
        </w:rPr>
        <w:t xml:space="preserve"> </w:t>
      </w:r>
    </w:p>
    <w:p w:rsidR="00613907" w:rsidRPr="00C06499" w:rsidRDefault="00613907" w:rsidP="005400C0">
      <w:pPr>
        <w:spacing w:after="0" w:line="240" w:lineRule="auto"/>
        <w:jc w:val="both"/>
        <w:rPr>
          <w:szCs w:val="21"/>
          <w:lang w:val="en-US"/>
        </w:rPr>
      </w:pPr>
      <w:r w:rsidRPr="008B7D59">
        <w:rPr>
          <w:szCs w:val="21"/>
          <w:lang w:val="en-US"/>
        </w:rPr>
        <w:t>GALLEGO, V.</w:t>
      </w:r>
      <w:r w:rsidR="008B7D59" w:rsidRPr="008B7D59">
        <w:rPr>
          <w:szCs w:val="21"/>
          <w:lang w:val="en-US"/>
        </w:rPr>
        <w:t xml:space="preserve"> PÉREZ, L.; ASTURINO, J. F.; YOSHIDA, M.</w:t>
      </w:r>
      <w:r w:rsidRPr="008B7D59">
        <w:rPr>
          <w:szCs w:val="21"/>
          <w:lang w:val="en-US"/>
        </w:rPr>
        <w:t xml:space="preserve"> </w:t>
      </w:r>
      <w:r w:rsidRPr="003D2A5E">
        <w:rPr>
          <w:szCs w:val="21"/>
          <w:lang w:val="en-US"/>
        </w:rPr>
        <w:t>Relationship  between spermatozoa motility parameters, sperm/egg ratio, and fertilization and hatching rates in pufferfish (</w:t>
      </w:r>
      <w:r w:rsidRPr="003D2A5E">
        <w:rPr>
          <w:i/>
          <w:szCs w:val="21"/>
          <w:lang w:val="en-US"/>
        </w:rPr>
        <w:t>Takifugu niphobles</w:t>
      </w:r>
      <w:r w:rsidRPr="003D2A5E">
        <w:rPr>
          <w:szCs w:val="21"/>
          <w:lang w:val="en-US"/>
        </w:rPr>
        <w:t xml:space="preserve">). </w:t>
      </w:r>
      <w:r w:rsidRPr="00C06499">
        <w:rPr>
          <w:b/>
          <w:szCs w:val="21"/>
          <w:lang w:val="en-US"/>
        </w:rPr>
        <w:t>Aquaculture,</w:t>
      </w:r>
      <w:r w:rsidRPr="00C06499">
        <w:rPr>
          <w:szCs w:val="21"/>
          <w:lang w:val="en-US"/>
        </w:rPr>
        <w:t xml:space="preserve"> vol. 416, p. 238-243, 2013.</w:t>
      </w:r>
    </w:p>
    <w:p w:rsidR="00C06499" w:rsidRPr="007F1AE1" w:rsidRDefault="00C06499" w:rsidP="005400C0">
      <w:pPr>
        <w:autoSpaceDE w:val="0"/>
        <w:autoSpaceDN w:val="0"/>
        <w:adjustRightInd w:val="0"/>
        <w:spacing w:after="0" w:line="240" w:lineRule="auto"/>
        <w:jc w:val="both"/>
        <w:rPr>
          <w:szCs w:val="19"/>
          <w:shd w:val="clear" w:color="auto" w:fill="FFFFFF"/>
          <w:lang w:val="en-US"/>
        </w:rPr>
      </w:pPr>
      <w:r w:rsidRPr="00C06499">
        <w:rPr>
          <w:szCs w:val="19"/>
          <w:shd w:val="clear" w:color="auto" w:fill="FFFFFF"/>
          <w:lang w:val="en-US"/>
        </w:rPr>
        <w:t>KIME, D. E.</w:t>
      </w:r>
      <w:r w:rsidR="00800213">
        <w:rPr>
          <w:szCs w:val="19"/>
          <w:shd w:val="clear" w:color="auto" w:fill="FFFFFF"/>
          <w:lang w:val="en-US"/>
        </w:rPr>
        <w:t xml:space="preserve"> VAN LOOK, K. J.; McALLISTER, B. G; HUVSKENS, G.; RURANGWA, E. OLLEVIER, F.</w:t>
      </w:r>
      <w:r w:rsidRPr="00C06499">
        <w:rPr>
          <w:szCs w:val="19"/>
          <w:shd w:val="clear" w:color="auto" w:fill="FFFFFF"/>
          <w:lang w:val="en-US"/>
        </w:rPr>
        <w:t xml:space="preserve"> </w:t>
      </w:r>
      <w:r w:rsidRPr="007F1AE1">
        <w:rPr>
          <w:szCs w:val="19"/>
          <w:shd w:val="clear" w:color="auto" w:fill="FFFFFF"/>
          <w:lang w:val="en-US"/>
        </w:rPr>
        <w:t>Computer-assisted sperm analysis (CASA) as a tool for monitoring sperm quality in fish.</w:t>
      </w:r>
      <w:r>
        <w:rPr>
          <w:rStyle w:val="apple-converted-space"/>
          <w:szCs w:val="19"/>
          <w:shd w:val="clear" w:color="auto" w:fill="FFFFFF"/>
          <w:lang w:val="en-US"/>
        </w:rPr>
        <w:t xml:space="preserve"> </w:t>
      </w:r>
      <w:r w:rsidRPr="007F1AE1">
        <w:rPr>
          <w:rStyle w:val="Forte"/>
          <w:szCs w:val="19"/>
          <w:shd w:val="clear" w:color="auto" w:fill="FFFFFF"/>
          <w:lang w:val="en-US"/>
        </w:rPr>
        <w:t>Comparative Biochemistry And Physiology Part C: Toxicology &amp; Pharmacology</w:t>
      </w:r>
      <w:r w:rsidRPr="007F1AE1">
        <w:rPr>
          <w:szCs w:val="19"/>
          <w:shd w:val="clear" w:color="auto" w:fill="FFFFFF"/>
          <w:lang w:val="en-US"/>
        </w:rPr>
        <w:t>, v. 130, n. 4, p. 425-433, dez. 2001.</w:t>
      </w:r>
      <w:r w:rsidR="00800213">
        <w:rPr>
          <w:szCs w:val="19"/>
          <w:shd w:val="clear" w:color="auto" w:fill="FFFFFF"/>
          <w:lang w:val="en-US"/>
        </w:rPr>
        <w:t xml:space="preserve"> </w:t>
      </w:r>
    </w:p>
    <w:p w:rsidR="006D6CFE" w:rsidRDefault="006D6CFE" w:rsidP="005400C0">
      <w:pPr>
        <w:spacing w:after="0" w:line="240" w:lineRule="auto"/>
        <w:jc w:val="both"/>
        <w:rPr>
          <w:szCs w:val="19"/>
          <w:shd w:val="clear" w:color="auto" w:fill="FFFFFF"/>
        </w:rPr>
      </w:pPr>
      <w:r w:rsidRPr="007F1AE1">
        <w:rPr>
          <w:szCs w:val="19"/>
          <w:shd w:val="clear" w:color="auto" w:fill="FFFFFF"/>
        </w:rPr>
        <w:t>MELO-MACIEL, M. A. P.</w:t>
      </w:r>
      <w:r w:rsidR="00800213">
        <w:rPr>
          <w:szCs w:val="19"/>
          <w:shd w:val="clear" w:color="auto" w:fill="FFFFFF"/>
        </w:rPr>
        <w:t xml:space="preserve">; </w:t>
      </w:r>
      <w:r w:rsidR="00800213">
        <w:t>SALMITOVANDERLEY, C. S. B.; LEITE. L. V.; OLIVEIRA, C. E; OLIVEIRA, M. S.; LOPES, J. T.; NUNES, J. F.</w:t>
      </w:r>
      <w:r w:rsidR="00800213">
        <w:rPr>
          <w:szCs w:val="19"/>
          <w:shd w:val="clear" w:color="auto" w:fill="FFFFFF"/>
        </w:rPr>
        <w:t xml:space="preserve"> </w:t>
      </w:r>
      <w:r w:rsidRPr="007F1AE1">
        <w:rPr>
          <w:szCs w:val="19"/>
          <w:shd w:val="clear" w:color="auto" w:fill="FFFFFF"/>
        </w:rPr>
        <w:t>Métodos de avaliação da qualidade do sêmen criopreservado de Characiformes brasileiros.</w:t>
      </w:r>
      <w:r>
        <w:rPr>
          <w:rStyle w:val="apple-converted-space"/>
          <w:szCs w:val="19"/>
          <w:shd w:val="clear" w:color="auto" w:fill="FFFFFF"/>
        </w:rPr>
        <w:t xml:space="preserve"> </w:t>
      </w:r>
      <w:r w:rsidRPr="007F1AE1">
        <w:rPr>
          <w:rStyle w:val="Forte"/>
          <w:szCs w:val="19"/>
          <w:shd w:val="clear" w:color="auto" w:fill="FFFFFF"/>
        </w:rPr>
        <w:t>Ciência Animal</w:t>
      </w:r>
      <w:r w:rsidRPr="0041430D">
        <w:rPr>
          <w:rStyle w:val="Forte"/>
          <w:szCs w:val="19"/>
          <w:shd w:val="clear" w:color="auto" w:fill="FFFFFF"/>
        </w:rPr>
        <w:t>,</w:t>
      </w:r>
      <w:r>
        <w:rPr>
          <w:rStyle w:val="apple-converted-space"/>
          <w:b/>
          <w:bCs/>
          <w:szCs w:val="19"/>
          <w:shd w:val="clear" w:color="auto" w:fill="FFFFFF"/>
        </w:rPr>
        <w:t xml:space="preserve"> </w:t>
      </w:r>
      <w:r w:rsidRPr="007F1AE1">
        <w:rPr>
          <w:szCs w:val="19"/>
          <w:shd w:val="clear" w:color="auto" w:fill="FFFFFF"/>
        </w:rPr>
        <w:t xml:space="preserve">Fortaleza, v. 22, n. 1, p. 269-283, jun. 2012. Edição Especial. </w:t>
      </w:r>
    </w:p>
    <w:p w:rsidR="005F2D68" w:rsidRPr="005F2D68" w:rsidRDefault="002721F4" w:rsidP="005400C0">
      <w:pPr>
        <w:spacing w:after="0" w:line="240" w:lineRule="auto"/>
        <w:jc w:val="both"/>
        <w:rPr>
          <w:noProof/>
          <w:color w:val="000000"/>
          <w:szCs w:val="19"/>
          <w:lang w:val="en-US"/>
        </w:rPr>
      </w:pPr>
      <w:r>
        <w:t xml:space="preserve">KOWALSKI, R. K.; SAROSIEK, B.; DEMIANOWICZ, W.; JUDEK, J.; GORYCZKO, K.; DOBOSZ, S.; KUZMINSKI, H.; DEMSKA-ZAKÉS, D. BABIAK, I; GLOGOWSKI, J. </w:t>
      </w:r>
      <w:r w:rsidR="005F2D68" w:rsidRPr="005F2D68">
        <w:rPr>
          <w:noProof/>
          <w:color w:val="000000"/>
          <w:szCs w:val="19"/>
        </w:rPr>
        <w:t xml:space="preserve"> </w:t>
      </w:r>
      <w:r w:rsidR="005F2D68" w:rsidRPr="002721F4">
        <w:rPr>
          <w:noProof/>
          <w:color w:val="000000"/>
          <w:szCs w:val="19"/>
          <w:lang w:val="en-US"/>
        </w:rPr>
        <w:t xml:space="preserve">Quatitative characteristics of rainbow trout, </w:t>
      </w:r>
      <w:r w:rsidR="005F2D68" w:rsidRPr="002721F4">
        <w:rPr>
          <w:i/>
          <w:noProof/>
          <w:color w:val="000000"/>
          <w:szCs w:val="19"/>
          <w:lang w:val="en-US"/>
        </w:rPr>
        <w:t>Oncorhynchus mykiss</w:t>
      </w:r>
      <w:r w:rsidR="005F2D68" w:rsidRPr="002721F4">
        <w:rPr>
          <w:noProof/>
          <w:color w:val="000000"/>
          <w:szCs w:val="19"/>
          <w:lang w:val="en-US"/>
        </w:rPr>
        <w:t xml:space="preserve">, Neo-Males (XX Genotype) and Super-Males (YY Genotype) Sperm. </w:t>
      </w:r>
      <w:r w:rsidR="005F2D68" w:rsidRPr="005F2D68">
        <w:rPr>
          <w:b/>
          <w:noProof/>
          <w:color w:val="000000"/>
          <w:szCs w:val="19"/>
          <w:lang w:val="en-US"/>
        </w:rPr>
        <w:t>International Journal of Biological, Biomolecular, Agricultural, Food and Biotechnological Engineering</w:t>
      </w:r>
      <w:r w:rsidR="005F2D68" w:rsidRPr="005F2D68">
        <w:rPr>
          <w:noProof/>
          <w:color w:val="000000"/>
          <w:szCs w:val="19"/>
          <w:lang w:val="en-US"/>
        </w:rPr>
        <w:t>, v. 5, n. 5, 2011.</w:t>
      </w:r>
    </w:p>
    <w:p w:rsidR="005F2D68" w:rsidRPr="00A854CC" w:rsidRDefault="00EA17C2" w:rsidP="005400C0">
      <w:pPr>
        <w:spacing w:after="0" w:line="240" w:lineRule="auto"/>
        <w:jc w:val="both"/>
        <w:rPr>
          <w:color w:val="000000"/>
          <w:szCs w:val="19"/>
        </w:rPr>
      </w:pPr>
      <w:r>
        <w:rPr>
          <w:color w:val="000000"/>
          <w:szCs w:val="19"/>
        </w:rPr>
        <w:t>REIS, V. R.; ALMEIDA, F. L.; PIFERRER, F.</w:t>
      </w:r>
      <w:r w:rsidR="005F2D68" w:rsidRPr="005F2D68">
        <w:rPr>
          <w:color w:val="000000"/>
          <w:szCs w:val="19"/>
        </w:rPr>
        <w:t xml:space="preserve"> Produção de populações monossexo em peixes. </w:t>
      </w:r>
      <w:r w:rsidR="005F2D68" w:rsidRPr="005F2D68">
        <w:rPr>
          <w:b/>
          <w:color w:val="000000"/>
          <w:szCs w:val="19"/>
        </w:rPr>
        <w:t>Revista Brasileira de Reprodução Anima</w:t>
      </w:r>
      <w:r w:rsidR="005F2D68" w:rsidRPr="005F2D68">
        <w:rPr>
          <w:color w:val="000000"/>
          <w:szCs w:val="19"/>
        </w:rPr>
        <w:t>l</w:t>
      </w:r>
      <w:r w:rsidR="005F2D68" w:rsidRPr="005F2D68">
        <w:rPr>
          <w:b/>
          <w:color w:val="000000"/>
          <w:szCs w:val="19"/>
        </w:rPr>
        <w:t>,</w:t>
      </w:r>
      <w:r w:rsidR="005F2D68" w:rsidRPr="005F2D68">
        <w:rPr>
          <w:color w:val="000000"/>
          <w:szCs w:val="19"/>
        </w:rPr>
        <w:t xml:space="preserve"> Belo Horizonte, v. 40, n. 1, p. 22-28, jan./mar. 2016. </w:t>
      </w:r>
      <w:r>
        <w:rPr>
          <w:color w:val="000000"/>
          <w:szCs w:val="19"/>
        </w:rPr>
        <w:t xml:space="preserve"> </w:t>
      </w:r>
    </w:p>
    <w:p w:rsidR="005F2D68" w:rsidRPr="007F1AE1" w:rsidRDefault="001241DC" w:rsidP="005400C0">
      <w:pPr>
        <w:spacing w:after="0" w:line="240" w:lineRule="auto"/>
        <w:jc w:val="both"/>
        <w:rPr>
          <w:szCs w:val="19"/>
          <w:shd w:val="clear" w:color="auto" w:fill="FFFFFF"/>
          <w:lang w:val="en-US"/>
        </w:rPr>
      </w:pPr>
      <w:r w:rsidRPr="001241DC">
        <w:rPr>
          <w:szCs w:val="19"/>
          <w:shd w:val="clear" w:color="auto" w:fill="FFFFFF"/>
          <w:lang w:val="en-US"/>
        </w:rPr>
        <w:t>RODINA, M.; POLICAR, T.; LINHART, O.</w:t>
      </w:r>
      <w:r w:rsidR="005F2D68" w:rsidRPr="001241DC">
        <w:rPr>
          <w:szCs w:val="19"/>
          <w:shd w:val="clear" w:color="auto" w:fill="FFFFFF"/>
          <w:lang w:val="en-US"/>
        </w:rPr>
        <w:t xml:space="preserve"> </w:t>
      </w:r>
      <w:r w:rsidR="005F2D68" w:rsidRPr="007F1AE1">
        <w:rPr>
          <w:szCs w:val="19"/>
          <w:shd w:val="clear" w:color="auto" w:fill="FFFFFF"/>
          <w:lang w:val="en-US"/>
        </w:rPr>
        <w:t>Cryopreservation of sperm of testicular neomales and stripped normal males of European perch (</w:t>
      </w:r>
      <w:r w:rsidR="005F2D68" w:rsidRPr="007F1AE1">
        <w:rPr>
          <w:i/>
          <w:szCs w:val="19"/>
          <w:shd w:val="clear" w:color="auto" w:fill="FFFFFF"/>
          <w:lang w:val="en-US"/>
        </w:rPr>
        <w:t xml:space="preserve">Perca fluviatilis </w:t>
      </w:r>
      <w:r w:rsidR="005F2D68" w:rsidRPr="005564B9">
        <w:rPr>
          <w:szCs w:val="19"/>
          <w:shd w:val="clear" w:color="auto" w:fill="FFFFFF"/>
          <w:lang w:val="en-US"/>
        </w:rPr>
        <w:t>L.</w:t>
      </w:r>
      <w:r w:rsidR="005F2D68" w:rsidRPr="007F1AE1">
        <w:rPr>
          <w:szCs w:val="19"/>
          <w:shd w:val="clear" w:color="auto" w:fill="FFFFFF"/>
          <w:lang w:val="en-US"/>
        </w:rPr>
        <w:t xml:space="preserve">). </w:t>
      </w:r>
      <w:r w:rsidR="005F2D68" w:rsidRPr="007F1AE1">
        <w:rPr>
          <w:b/>
          <w:szCs w:val="19"/>
          <w:shd w:val="clear" w:color="auto" w:fill="FFFFFF"/>
          <w:lang w:val="en-US"/>
        </w:rPr>
        <w:t>Cybium</w:t>
      </w:r>
      <w:r w:rsidR="005F2D68" w:rsidRPr="007F1AE1">
        <w:rPr>
          <w:szCs w:val="19"/>
          <w:shd w:val="clear" w:color="auto" w:fill="FFFFFF"/>
          <w:lang w:val="en-US"/>
        </w:rPr>
        <w:t>, v. 32, n. 2, 2008.</w:t>
      </w:r>
      <w:r>
        <w:rPr>
          <w:szCs w:val="19"/>
          <w:shd w:val="clear" w:color="auto" w:fill="FFFFFF"/>
          <w:lang w:val="en-US"/>
        </w:rPr>
        <w:t xml:space="preserve"> </w:t>
      </w:r>
    </w:p>
    <w:p w:rsidR="006056CF" w:rsidRPr="005400C0" w:rsidRDefault="00EA17C2" w:rsidP="005400C0">
      <w:pPr>
        <w:spacing w:after="0" w:line="240" w:lineRule="auto"/>
        <w:jc w:val="both"/>
        <w:rPr>
          <w:szCs w:val="19"/>
          <w:shd w:val="clear" w:color="auto" w:fill="FFFFFF"/>
        </w:rPr>
      </w:pPr>
      <w:r>
        <w:rPr>
          <w:szCs w:val="19"/>
          <w:shd w:val="clear" w:color="auto" w:fill="FFFFFF"/>
          <w:lang w:val="en-US"/>
        </w:rPr>
        <w:t xml:space="preserve">SANCHES, E. A; </w:t>
      </w:r>
      <w:r w:rsidRPr="00EA17C2">
        <w:rPr>
          <w:lang w:val="en-US"/>
        </w:rPr>
        <w:t>BOMBARDELLI, R. A.; MARCOS, R. M.; NEUMANN, G.; TOLEDO, C. P. R.; ROMAGOSA, E</w:t>
      </w:r>
      <w:r w:rsidR="006056CF" w:rsidRPr="00613907">
        <w:rPr>
          <w:szCs w:val="19"/>
          <w:shd w:val="clear" w:color="auto" w:fill="FFFFFF"/>
          <w:lang w:val="en-US"/>
        </w:rPr>
        <w:t xml:space="preserve">. </w:t>
      </w:r>
      <w:r w:rsidR="006056CF" w:rsidRPr="007F1AE1">
        <w:rPr>
          <w:szCs w:val="19"/>
          <w:shd w:val="clear" w:color="auto" w:fill="FFFFFF"/>
          <w:lang w:val="en-US"/>
        </w:rPr>
        <w:t xml:space="preserve">Sperm motility of </w:t>
      </w:r>
      <w:r w:rsidR="006056CF" w:rsidRPr="007F1AE1">
        <w:rPr>
          <w:i/>
          <w:szCs w:val="19"/>
          <w:shd w:val="clear" w:color="auto" w:fill="FFFFFF"/>
          <w:lang w:val="en-US"/>
        </w:rPr>
        <w:t>Rhamdia quelen</w:t>
      </w:r>
      <w:r w:rsidR="006056CF" w:rsidRPr="007F1AE1">
        <w:rPr>
          <w:szCs w:val="19"/>
          <w:shd w:val="clear" w:color="auto" w:fill="FFFFFF"/>
          <w:lang w:val="en-US"/>
        </w:rPr>
        <w:t xml:space="preserve"> studied using computer-assisted analysis by open-source software.</w:t>
      </w:r>
      <w:r w:rsidR="006056CF">
        <w:rPr>
          <w:rStyle w:val="apple-converted-space"/>
          <w:szCs w:val="19"/>
          <w:shd w:val="clear" w:color="auto" w:fill="FFFFFF"/>
          <w:lang w:val="en-US"/>
        </w:rPr>
        <w:t xml:space="preserve"> </w:t>
      </w:r>
      <w:r w:rsidR="006056CF" w:rsidRPr="005400C0">
        <w:rPr>
          <w:rStyle w:val="Forte"/>
          <w:szCs w:val="19"/>
          <w:shd w:val="clear" w:color="auto" w:fill="FFFFFF"/>
        </w:rPr>
        <w:t>Aquaculture Research,</w:t>
      </w:r>
      <w:r w:rsidR="006056CF" w:rsidRPr="005400C0">
        <w:rPr>
          <w:szCs w:val="19"/>
          <w:shd w:val="clear" w:color="auto" w:fill="FFFFFF"/>
        </w:rPr>
        <w:t xml:space="preserve"> v. 42, n. 1, p. 153-156, 8 out. 2010b. </w:t>
      </w:r>
      <w:r w:rsidRPr="005400C0">
        <w:rPr>
          <w:szCs w:val="19"/>
          <w:shd w:val="clear" w:color="auto" w:fill="FFFFFF"/>
        </w:rPr>
        <w:t xml:space="preserve"> </w:t>
      </w:r>
    </w:p>
    <w:p w:rsidR="005F2D68" w:rsidRPr="007F1AE1" w:rsidRDefault="00376441" w:rsidP="005400C0">
      <w:pPr>
        <w:spacing w:after="0" w:line="240" w:lineRule="auto"/>
        <w:jc w:val="both"/>
        <w:rPr>
          <w:szCs w:val="19"/>
          <w:shd w:val="clear" w:color="auto" w:fill="FFFFFF"/>
        </w:rPr>
      </w:pPr>
      <w:r w:rsidRPr="005400C0">
        <w:rPr>
          <w:b/>
          <w:szCs w:val="24"/>
        </w:rPr>
        <w:t xml:space="preserve"> </w:t>
      </w:r>
      <w:r w:rsidR="00EA17C2">
        <w:rPr>
          <w:szCs w:val="19"/>
          <w:shd w:val="clear" w:color="auto" w:fill="FFFFFF"/>
        </w:rPr>
        <w:t xml:space="preserve">SANCHES, E. A.; MARCOS, </w:t>
      </w:r>
      <w:r w:rsidR="00EA17C2">
        <w:t>R. M.; BAGGIO, D. M.; TESSARO, L.; BALEN, R. E.; BOMBARDELLI, A. R.</w:t>
      </w:r>
      <w:r w:rsidR="005F2D68" w:rsidRPr="00EA17C2">
        <w:rPr>
          <w:szCs w:val="19"/>
          <w:shd w:val="clear" w:color="auto" w:fill="FFFFFF"/>
        </w:rPr>
        <w:t xml:space="preserve"> </w:t>
      </w:r>
      <w:r w:rsidR="005F2D68" w:rsidRPr="007F1AE1">
        <w:rPr>
          <w:szCs w:val="19"/>
          <w:shd w:val="clear" w:color="auto" w:fill="FFFFFF"/>
        </w:rPr>
        <w:t>Estimativa da concentração espermática do sêmen de peixe pelo método de espermatócrito.</w:t>
      </w:r>
      <w:r w:rsidR="005F2D68">
        <w:rPr>
          <w:rStyle w:val="apple-converted-space"/>
          <w:szCs w:val="19"/>
          <w:shd w:val="clear" w:color="auto" w:fill="FFFFFF"/>
        </w:rPr>
        <w:t xml:space="preserve"> </w:t>
      </w:r>
      <w:r w:rsidR="005F2D68" w:rsidRPr="007F1AE1">
        <w:rPr>
          <w:rStyle w:val="Forte"/>
          <w:szCs w:val="19"/>
          <w:shd w:val="clear" w:color="auto" w:fill="FFFFFF"/>
        </w:rPr>
        <w:t>Revista Brasileira de Zootecnia</w:t>
      </w:r>
      <w:r w:rsidR="005F2D68" w:rsidRPr="00BE4C9F">
        <w:rPr>
          <w:rStyle w:val="Forte"/>
          <w:szCs w:val="19"/>
          <w:shd w:val="clear" w:color="auto" w:fill="FFFFFF"/>
        </w:rPr>
        <w:t>,</w:t>
      </w:r>
      <w:r w:rsidR="005F2D68">
        <w:rPr>
          <w:rStyle w:val="apple-converted-space"/>
          <w:b/>
          <w:bCs/>
          <w:szCs w:val="19"/>
          <w:shd w:val="clear" w:color="auto" w:fill="FFFFFF"/>
        </w:rPr>
        <w:t xml:space="preserve"> </w:t>
      </w:r>
      <w:r w:rsidR="005F2D68" w:rsidRPr="007F1AE1">
        <w:rPr>
          <w:szCs w:val="19"/>
          <w:shd w:val="clear" w:color="auto" w:fill="FFFFFF"/>
        </w:rPr>
        <w:t>Viçosa, v. 40, n. 6, p.</w:t>
      </w:r>
      <w:r w:rsidR="00EA17C2">
        <w:rPr>
          <w:szCs w:val="19"/>
          <w:shd w:val="clear" w:color="auto" w:fill="FFFFFF"/>
        </w:rPr>
        <w:t xml:space="preserve"> 1163-1167, jul. 2011a.</w:t>
      </w:r>
    </w:p>
    <w:p w:rsidR="005F2D68" w:rsidRDefault="00EA17C2" w:rsidP="005400C0">
      <w:pPr>
        <w:spacing w:after="0" w:line="240" w:lineRule="auto"/>
        <w:jc w:val="both"/>
        <w:rPr>
          <w:szCs w:val="19"/>
          <w:shd w:val="clear" w:color="auto" w:fill="FFFFFF"/>
        </w:rPr>
      </w:pPr>
      <w:r w:rsidRPr="00EA17C2">
        <w:rPr>
          <w:szCs w:val="19"/>
          <w:shd w:val="clear" w:color="auto" w:fill="FFFFFF"/>
        </w:rPr>
        <w:lastRenderedPageBreak/>
        <w:t xml:space="preserve">SANCHES, E. A. </w:t>
      </w:r>
      <w:r>
        <w:t xml:space="preserve">SANCHES, E. A.; BOMBARDELLI, R. A.; BAGGIO, D. M.; SYKORA, R. M.; XAXIER, A. M. M. </w:t>
      </w:r>
      <w:r w:rsidR="005F2D68" w:rsidRPr="007F1AE1">
        <w:rPr>
          <w:szCs w:val="19"/>
          <w:shd w:val="clear" w:color="auto" w:fill="FFFFFF"/>
        </w:rPr>
        <w:t>Características seminais do cascudo-preto (</w:t>
      </w:r>
      <w:r w:rsidR="005F2D68" w:rsidRPr="007F1AE1">
        <w:rPr>
          <w:i/>
          <w:szCs w:val="19"/>
          <w:shd w:val="clear" w:color="auto" w:fill="FFFFFF"/>
        </w:rPr>
        <w:t>Rhinelepis aspera</w:t>
      </w:r>
      <w:r w:rsidR="005F2D68" w:rsidRPr="007F1AE1">
        <w:rPr>
          <w:szCs w:val="19"/>
          <w:shd w:val="clear" w:color="auto" w:fill="FFFFFF"/>
        </w:rPr>
        <w:t>).</w:t>
      </w:r>
      <w:r w:rsidR="005F2D68">
        <w:rPr>
          <w:rStyle w:val="apple-converted-space"/>
          <w:szCs w:val="19"/>
          <w:shd w:val="clear" w:color="auto" w:fill="FFFFFF"/>
        </w:rPr>
        <w:t xml:space="preserve"> </w:t>
      </w:r>
      <w:r w:rsidR="005F2D68" w:rsidRPr="007F1AE1">
        <w:rPr>
          <w:rStyle w:val="Forte"/>
          <w:szCs w:val="19"/>
          <w:shd w:val="clear" w:color="auto" w:fill="FFFFFF"/>
        </w:rPr>
        <w:t>Revista Brasileira de Reprodução Animal,</w:t>
      </w:r>
      <w:r w:rsidR="005F2D68">
        <w:rPr>
          <w:rStyle w:val="apple-converted-space"/>
          <w:b/>
          <w:bCs/>
          <w:szCs w:val="19"/>
          <w:shd w:val="clear" w:color="auto" w:fill="FFFFFF"/>
        </w:rPr>
        <w:t xml:space="preserve"> </w:t>
      </w:r>
      <w:r w:rsidR="005F2D68" w:rsidRPr="007F1AE1">
        <w:rPr>
          <w:szCs w:val="19"/>
          <w:shd w:val="clear" w:color="auto" w:fill="FFFFFF"/>
        </w:rPr>
        <w:t>Belo Horizonte, v. 35, n</w:t>
      </w:r>
      <w:r w:rsidR="005F2D68">
        <w:rPr>
          <w:szCs w:val="19"/>
          <w:shd w:val="clear" w:color="auto" w:fill="FFFFFF"/>
        </w:rPr>
        <w:t>. 3, p. 357-362, jul./set. 2011b</w:t>
      </w:r>
      <w:r w:rsidR="00A854CC">
        <w:rPr>
          <w:szCs w:val="19"/>
          <w:shd w:val="clear" w:color="auto" w:fill="FFFFFF"/>
        </w:rPr>
        <w:t xml:space="preserve">. </w:t>
      </w:r>
    </w:p>
    <w:p w:rsidR="006056CF" w:rsidRPr="005400C0" w:rsidRDefault="006056CF" w:rsidP="005400C0">
      <w:pPr>
        <w:spacing w:after="0" w:line="240" w:lineRule="auto"/>
        <w:jc w:val="both"/>
        <w:rPr>
          <w:szCs w:val="21"/>
        </w:rPr>
      </w:pPr>
      <w:r w:rsidRPr="006056CF">
        <w:rPr>
          <w:szCs w:val="21"/>
          <w:shd w:val="clear" w:color="auto" w:fill="FFFFFF"/>
          <w:lang w:val="en-US"/>
        </w:rPr>
        <w:t>SANCHES</w:t>
      </w:r>
      <w:r w:rsidR="00EA17C2">
        <w:rPr>
          <w:szCs w:val="21"/>
          <w:shd w:val="clear" w:color="auto" w:fill="FFFFFF"/>
          <w:lang w:val="en-US"/>
        </w:rPr>
        <w:t>, E. A.</w:t>
      </w:r>
      <w:r w:rsidR="001241DC">
        <w:rPr>
          <w:szCs w:val="21"/>
          <w:shd w:val="clear" w:color="auto" w:fill="FFFFFF"/>
          <w:lang w:val="en-US"/>
        </w:rPr>
        <w:t>; OKAWARA, R. Y.; CANEPPELE, D. TOLEDO, C. P. R</w:t>
      </w:r>
      <w:r w:rsidRPr="006056CF">
        <w:rPr>
          <w:szCs w:val="21"/>
          <w:shd w:val="clear" w:color="auto" w:fill="FFFFFF"/>
          <w:lang w:val="en-US"/>
        </w:rPr>
        <w:t>.</w:t>
      </w:r>
      <w:r w:rsidR="001241DC">
        <w:rPr>
          <w:szCs w:val="21"/>
          <w:shd w:val="clear" w:color="auto" w:fill="FFFFFF"/>
          <w:lang w:val="en-US"/>
        </w:rPr>
        <w:t>; BOMBARDELLI, R. A.; ROMAGOSA, E.</w:t>
      </w:r>
      <w:r w:rsidRPr="006056CF">
        <w:rPr>
          <w:szCs w:val="21"/>
          <w:shd w:val="clear" w:color="auto" w:fill="FFFFFF"/>
          <w:lang w:val="en-US"/>
        </w:rPr>
        <w:t xml:space="preserve"> </w:t>
      </w:r>
      <w:r w:rsidRPr="00320932">
        <w:rPr>
          <w:szCs w:val="21"/>
          <w:shd w:val="clear" w:color="auto" w:fill="FFFFFF"/>
          <w:lang w:val="en-US"/>
        </w:rPr>
        <w:t xml:space="preserve">Sperm characteristics of </w:t>
      </w:r>
      <w:r w:rsidRPr="00320932">
        <w:rPr>
          <w:i/>
          <w:iCs/>
          <w:szCs w:val="21"/>
          <w:bdr w:val="none" w:sz="0" w:space="0" w:color="auto" w:frame="1"/>
          <w:shd w:val="clear" w:color="auto" w:fill="FFFFFF"/>
          <w:lang w:val="en-US"/>
        </w:rPr>
        <w:t xml:space="preserve">Steindachneridion parahybae </w:t>
      </w:r>
      <w:r w:rsidRPr="00320932">
        <w:rPr>
          <w:szCs w:val="21"/>
          <w:shd w:val="clear" w:color="auto" w:fill="FFFFFF"/>
          <w:lang w:val="en-US"/>
        </w:rPr>
        <w:t xml:space="preserve">(Steindachner, 1877) throughout 112h of storage at four temperatures. </w:t>
      </w:r>
      <w:r w:rsidRPr="005400C0">
        <w:rPr>
          <w:b/>
          <w:szCs w:val="21"/>
          <w:shd w:val="clear" w:color="auto" w:fill="FFFFFF"/>
        </w:rPr>
        <w:t>Journal of Applied Ichthyology</w:t>
      </w:r>
      <w:r w:rsidRPr="005400C0">
        <w:rPr>
          <w:szCs w:val="21"/>
          <w:shd w:val="clear" w:color="auto" w:fill="FFFFFF"/>
        </w:rPr>
        <w:t>, v. 31, p. 79-88, 2015.</w:t>
      </w:r>
    </w:p>
    <w:p w:rsidR="00284362" w:rsidRDefault="00284362" w:rsidP="005400C0">
      <w:pPr>
        <w:spacing w:after="0" w:line="240" w:lineRule="auto"/>
        <w:jc w:val="both"/>
        <w:rPr>
          <w:szCs w:val="19"/>
          <w:shd w:val="clear" w:color="auto" w:fill="FFFFFF"/>
        </w:rPr>
      </w:pPr>
      <w:r w:rsidRPr="00284362">
        <w:rPr>
          <w:szCs w:val="19"/>
          <w:shd w:val="clear" w:color="auto" w:fill="FFFFFF"/>
        </w:rPr>
        <w:t>SOLIS-MURGAS, L. D.</w:t>
      </w:r>
      <w:r>
        <w:rPr>
          <w:szCs w:val="19"/>
          <w:shd w:val="clear" w:color="auto" w:fill="FFFFFF"/>
        </w:rPr>
        <w:t>; FELIZARDO,</w:t>
      </w:r>
      <w:r>
        <w:t xml:space="preserve"> V. O.; FERREIRA, M. R.; ANDRADE, E. S.; VERAS, G. C.</w:t>
      </w:r>
      <w:r w:rsidR="006D6CFE" w:rsidRPr="00284362">
        <w:rPr>
          <w:szCs w:val="19"/>
          <w:shd w:val="clear" w:color="auto" w:fill="FFFFFF"/>
        </w:rPr>
        <w:t xml:space="preserve"> </w:t>
      </w:r>
      <w:r w:rsidR="006D6CFE" w:rsidRPr="007F1AE1">
        <w:rPr>
          <w:szCs w:val="19"/>
          <w:shd w:val="clear" w:color="auto" w:fill="FFFFFF"/>
        </w:rPr>
        <w:t>Importância da avaliação dos parâmetros reprodutivos em peixes nativos.</w:t>
      </w:r>
      <w:r w:rsidR="006D6CFE">
        <w:rPr>
          <w:rStyle w:val="apple-converted-space"/>
          <w:szCs w:val="19"/>
          <w:shd w:val="clear" w:color="auto" w:fill="FFFFFF"/>
        </w:rPr>
        <w:t xml:space="preserve"> </w:t>
      </w:r>
      <w:r w:rsidR="006D6CFE" w:rsidRPr="007F1AE1">
        <w:rPr>
          <w:rStyle w:val="Forte"/>
          <w:szCs w:val="19"/>
          <w:shd w:val="clear" w:color="auto" w:fill="FFFFFF"/>
        </w:rPr>
        <w:t>Revista Brasileira de Reprodução Animal</w:t>
      </w:r>
      <w:r w:rsidR="006D6CFE" w:rsidRPr="0041430D">
        <w:rPr>
          <w:rStyle w:val="Forte"/>
          <w:szCs w:val="19"/>
          <w:shd w:val="clear" w:color="auto" w:fill="FFFFFF"/>
        </w:rPr>
        <w:t>,</w:t>
      </w:r>
      <w:r w:rsidR="006D6CFE">
        <w:rPr>
          <w:rStyle w:val="Forte"/>
          <w:szCs w:val="19"/>
          <w:shd w:val="clear" w:color="auto" w:fill="FFFFFF"/>
        </w:rPr>
        <w:t xml:space="preserve"> </w:t>
      </w:r>
      <w:r w:rsidR="006D6CFE" w:rsidRPr="007F1AE1">
        <w:rPr>
          <w:szCs w:val="19"/>
          <w:shd w:val="clear" w:color="auto" w:fill="FFFFFF"/>
        </w:rPr>
        <w:t>Belo Horizonte, v. 35, n. 2, p. 186-191, abr. 2011.</w:t>
      </w:r>
      <w:r>
        <w:rPr>
          <w:szCs w:val="19"/>
          <w:shd w:val="clear" w:color="auto" w:fill="FFFFFF"/>
        </w:rPr>
        <w:t xml:space="preserve"> </w:t>
      </w:r>
    </w:p>
    <w:p w:rsidR="00C06499" w:rsidRPr="005400C0" w:rsidRDefault="00C06499" w:rsidP="005400C0">
      <w:pPr>
        <w:spacing w:after="0" w:line="240" w:lineRule="auto"/>
        <w:jc w:val="both"/>
        <w:rPr>
          <w:lang w:val="en-US"/>
        </w:rPr>
      </w:pPr>
      <w:r w:rsidRPr="007D68EF">
        <w:rPr>
          <w:szCs w:val="19"/>
          <w:lang w:val="en-US"/>
        </w:rPr>
        <w:t xml:space="preserve">VIVEIROS, A. T. M.; GODINHO, H. P. Sperm quality and cryopreservation of Brazilian freshwater fish species: a review. </w:t>
      </w:r>
      <w:r w:rsidRPr="009504EA">
        <w:rPr>
          <w:b/>
          <w:szCs w:val="19"/>
          <w:lang w:val="en-US"/>
        </w:rPr>
        <w:t>Fish Physiology and Biochemistry</w:t>
      </w:r>
      <w:r w:rsidRPr="009504EA">
        <w:rPr>
          <w:szCs w:val="19"/>
          <w:lang w:val="en-US"/>
        </w:rPr>
        <w:t>, v. 35, p. 137-150. 2009.</w:t>
      </w:r>
    </w:p>
    <w:p w:rsidR="00613907" w:rsidRPr="00A23502" w:rsidRDefault="00613907" w:rsidP="005400C0">
      <w:pPr>
        <w:spacing w:after="0" w:line="240" w:lineRule="auto"/>
        <w:jc w:val="both"/>
        <w:rPr>
          <w:szCs w:val="19"/>
        </w:rPr>
      </w:pPr>
      <w:r w:rsidRPr="00284362">
        <w:rPr>
          <w:szCs w:val="19"/>
          <w:lang w:val="en-US"/>
        </w:rPr>
        <w:t>VIVEIROS, A. T. M.</w:t>
      </w:r>
      <w:r w:rsidR="00284362">
        <w:rPr>
          <w:szCs w:val="19"/>
          <w:lang w:val="en-US"/>
        </w:rPr>
        <w:t>;</w:t>
      </w:r>
      <w:r w:rsidRPr="00284362">
        <w:rPr>
          <w:szCs w:val="19"/>
          <w:lang w:val="en-US"/>
        </w:rPr>
        <w:t xml:space="preserve"> </w:t>
      </w:r>
      <w:r w:rsidR="00284362" w:rsidRPr="00284362">
        <w:rPr>
          <w:szCs w:val="19"/>
          <w:lang w:val="en-US"/>
        </w:rPr>
        <w:t xml:space="preserve">NASCIMENTO, A. F.; </w:t>
      </w:r>
      <w:r w:rsidR="00284362">
        <w:rPr>
          <w:szCs w:val="19"/>
          <w:lang w:val="en-US"/>
        </w:rPr>
        <w:t>ÓRFÃO, L. H.; ISAÚ, Z. A.</w:t>
      </w:r>
      <w:r w:rsidRPr="00284362">
        <w:rPr>
          <w:szCs w:val="19"/>
          <w:lang w:val="en-US"/>
        </w:rPr>
        <w:t xml:space="preserve"> </w:t>
      </w:r>
      <w:r w:rsidRPr="00644C91">
        <w:rPr>
          <w:szCs w:val="19"/>
          <w:lang w:val="en-US"/>
        </w:rPr>
        <w:t xml:space="preserve">Motility and fertility of the subtropical freshwater </w:t>
      </w:r>
      <w:r w:rsidRPr="00165BE6">
        <w:rPr>
          <w:szCs w:val="19"/>
        </w:rPr>
        <w:t>ﬁ</w:t>
      </w:r>
      <w:r w:rsidRPr="00644C91">
        <w:rPr>
          <w:szCs w:val="19"/>
          <w:lang w:val="en-US"/>
        </w:rPr>
        <w:t>sh streaked prochilod (</w:t>
      </w:r>
      <w:r w:rsidRPr="00644C91">
        <w:rPr>
          <w:i/>
          <w:szCs w:val="19"/>
          <w:lang w:val="en-US"/>
        </w:rPr>
        <w:t>Prochilodus lineatus</w:t>
      </w:r>
      <w:r w:rsidRPr="00644C91">
        <w:rPr>
          <w:szCs w:val="19"/>
          <w:lang w:val="en-US"/>
        </w:rPr>
        <w:t xml:space="preserve">) sperm cryopreserved in powdered coconut water. </w:t>
      </w:r>
      <w:r w:rsidRPr="00644C91">
        <w:rPr>
          <w:b/>
          <w:szCs w:val="19"/>
        </w:rPr>
        <w:t>Theriogenology</w:t>
      </w:r>
      <w:r w:rsidRPr="00165BE6">
        <w:rPr>
          <w:szCs w:val="19"/>
        </w:rPr>
        <w:t>,</w:t>
      </w:r>
      <w:r>
        <w:rPr>
          <w:szCs w:val="19"/>
        </w:rPr>
        <w:t xml:space="preserve"> </w:t>
      </w:r>
      <w:r w:rsidRPr="00165BE6">
        <w:rPr>
          <w:szCs w:val="19"/>
        </w:rPr>
        <w:t>v.</w:t>
      </w:r>
      <w:r>
        <w:rPr>
          <w:szCs w:val="19"/>
        </w:rPr>
        <w:t xml:space="preserve"> </w:t>
      </w:r>
      <w:r w:rsidRPr="00165BE6">
        <w:rPr>
          <w:szCs w:val="19"/>
        </w:rPr>
        <w:t>74, p.</w:t>
      </w:r>
      <w:r>
        <w:rPr>
          <w:szCs w:val="19"/>
        </w:rPr>
        <w:t xml:space="preserve"> </w:t>
      </w:r>
      <w:r w:rsidRPr="00165BE6">
        <w:rPr>
          <w:szCs w:val="19"/>
        </w:rPr>
        <w:t>551-556, 2010.</w:t>
      </w:r>
      <w:r w:rsidR="00284362">
        <w:rPr>
          <w:szCs w:val="19"/>
        </w:rPr>
        <w:t xml:space="preserve"> </w:t>
      </w:r>
    </w:p>
    <w:p w:rsidR="006056CF" w:rsidRDefault="006056CF" w:rsidP="005400C0">
      <w:pPr>
        <w:autoSpaceDE w:val="0"/>
        <w:autoSpaceDN w:val="0"/>
        <w:adjustRightInd w:val="0"/>
        <w:spacing w:after="0" w:line="240" w:lineRule="auto"/>
        <w:jc w:val="both"/>
        <w:rPr>
          <w:szCs w:val="19"/>
        </w:rPr>
      </w:pPr>
      <w:r w:rsidRPr="007F1AE1">
        <w:rPr>
          <w:szCs w:val="19"/>
        </w:rPr>
        <w:t xml:space="preserve">WEISS, L. A. </w:t>
      </w:r>
      <w:r w:rsidRPr="00107302">
        <w:rPr>
          <w:szCs w:val="19"/>
        </w:rPr>
        <w:t xml:space="preserve">Inversão sexual em jundiá </w:t>
      </w:r>
      <w:r w:rsidRPr="00107302">
        <w:rPr>
          <w:i/>
          <w:szCs w:val="19"/>
        </w:rPr>
        <w:t>Rhamdia quelen</w:t>
      </w:r>
      <w:r w:rsidRPr="00107302">
        <w:rPr>
          <w:szCs w:val="19"/>
        </w:rPr>
        <w:t xml:space="preserve"> (Quoy &amp; Gaimard, 1924): masculinização com 17α-metiltestosterona e feminização indireta</w:t>
      </w:r>
      <w:r w:rsidRPr="007F1AE1">
        <w:rPr>
          <w:szCs w:val="19"/>
        </w:rPr>
        <w:t xml:space="preserve">. 2016. 117 f. </w:t>
      </w:r>
      <w:r w:rsidRPr="00107302">
        <w:rPr>
          <w:b/>
          <w:szCs w:val="19"/>
        </w:rPr>
        <w:t>Tese (Doutorado)</w:t>
      </w:r>
      <w:r w:rsidRPr="007F1AE1">
        <w:rPr>
          <w:szCs w:val="19"/>
        </w:rPr>
        <w:t xml:space="preserve"> - Programa de Pós-graduação em Aquicultura – UFSC, Florianópolis, 2016.</w:t>
      </w:r>
    </w:p>
    <w:p w:rsidR="006056CF" w:rsidRPr="006056CF" w:rsidRDefault="006056CF" w:rsidP="005400C0">
      <w:pPr>
        <w:spacing w:after="0" w:line="240" w:lineRule="auto"/>
        <w:jc w:val="both"/>
        <w:rPr>
          <w:color w:val="000000"/>
          <w:szCs w:val="19"/>
        </w:rPr>
      </w:pPr>
      <w:r w:rsidRPr="006056CF">
        <w:rPr>
          <w:color w:val="000000"/>
          <w:szCs w:val="19"/>
        </w:rPr>
        <w:t xml:space="preserve">ZANIBONI FILHO, E. </w:t>
      </w:r>
      <w:r w:rsidRPr="00107302">
        <w:rPr>
          <w:color w:val="000000"/>
          <w:szCs w:val="19"/>
        </w:rPr>
        <w:t>Incubação, larvicultura e alevinagem do tambaqui (</w:t>
      </w:r>
      <w:r w:rsidRPr="00107302">
        <w:rPr>
          <w:i/>
          <w:color w:val="000000"/>
          <w:szCs w:val="19"/>
        </w:rPr>
        <w:t>Colossoma macropomum</w:t>
      </w:r>
      <w:r w:rsidRPr="00107302">
        <w:rPr>
          <w:color w:val="000000"/>
          <w:szCs w:val="19"/>
        </w:rPr>
        <w:t xml:space="preserve"> CUVIER, 1818)</w:t>
      </w:r>
      <w:r w:rsidRPr="006056CF">
        <w:rPr>
          <w:color w:val="000000"/>
          <w:szCs w:val="19"/>
        </w:rPr>
        <w:t xml:space="preserve">. 1992. 202 p. </w:t>
      </w:r>
      <w:r w:rsidRPr="00107302">
        <w:rPr>
          <w:b/>
          <w:color w:val="000000"/>
          <w:szCs w:val="19"/>
        </w:rPr>
        <w:t>Tese (Doutorado em Ciências)</w:t>
      </w:r>
      <w:r w:rsidRPr="006056CF">
        <w:rPr>
          <w:color w:val="000000"/>
          <w:szCs w:val="19"/>
        </w:rPr>
        <w:t>, Universidade Federal de São Carlos - UFSCar, São Carlos, 1992.</w:t>
      </w:r>
    </w:p>
    <w:p w:rsidR="006056CF" w:rsidRPr="006056CF" w:rsidRDefault="006056CF" w:rsidP="005400C0">
      <w:pPr>
        <w:spacing w:after="0" w:line="240" w:lineRule="auto"/>
        <w:jc w:val="both"/>
        <w:rPr>
          <w:color w:val="000000"/>
          <w:szCs w:val="19"/>
        </w:rPr>
      </w:pPr>
      <w:r w:rsidRPr="006056CF">
        <w:rPr>
          <w:color w:val="000000"/>
          <w:szCs w:val="19"/>
        </w:rPr>
        <w:t xml:space="preserve">ZANIBONI FILHO, E; BALDISSEROTTO, B. Congelação de sêmen e tecidos de peixes brasileiros. </w:t>
      </w:r>
      <w:r w:rsidRPr="006056CF">
        <w:rPr>
          <w:b/>
          <w:color w:val="000000"/>
          <w:szCs w:val="19"/>
        </w:rPr>
        <w:t>Rev</w:t>
      </w:r>
      <w:bookmarkStart w:id="22" w:name="_GoBack"/>
      <w:bookmarkEnd w:id="22"/>
      <w:r w:rsidRPr="006056CF">
        <w:rPr>
          <w:b/>
          <w:color w:val="000000"/>
          <w:szCs w:val="19"/>
        </w:rPr>
        <w:t>ista Brasileira de Reprodução Animal</w:t>
      </w:r>
      <w:r w:rsidRPr="006056CF">
        <w:rPr>
          <w:color w:val="000000"/>
          <w:szCs w:val="19"/>
        </w:rPr>
        <w:t>, v. 39, n. 1, p. 189-194, jan./mar. 2015.</w:t>
      </w:r>
    </w:p>
    <w:sectPr w:rsidR="006056CF" w:rsidRPr="006056CF" w:rsidSect="0084602C">
      <w:headerReference w:type="default" r:id="rId12"/>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3D" w:rsidRDefault="0074353D" w:rsidP="00880ABD">
      <w:pPr>
        <w:spacing w:after="0" w:line="240" w:lineRule="auto"/>
      </w:pPr>
      <w:r>
        <w:separator/>
      </w:r>
    </w:p>
  </w:endnote>
  <w:endnote w:type="continuationSeparator" w:id="0">
    <w:p w:rsidR="0074353D" w:rsidRDefault="0074353D"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3D" w:rsidRDefault="0074353D" w:rsidP="00880ABD">
      <w:pPr>
        <w:spacing w:after="0" w:line="240" w:lineRule="auto"/>
      </w:pPr>
      <w:r>
        <w:separator/>
      </w:r>
    </w:p>
  </w:footnote>
  <w:footnote w:type="continuationSeparator" w:id="0">
    <w:p w:rsidR="0074353D" w:rsidRDefault="0074353D"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BD" w:rsidRDefault="0074353D" w:rsidP="0084602C">
    <w:pPr>
      <w:pStyle w:val="Cabealh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left:0;text-align:left;margin-left:66.1pt;margin-top:-74.7pt;width:379.45pt;height:61.25pt;z-index:1;visibility:visible;mso-position-horizontal-relative:margin;mso-position-vertical-relative:margin">
          <v:imagedata r:id="rId1" o:title=""/>
          <w10:wrap type="square" anchorx="margin" anchory="margin"/>
        </v:shape>
      </w:pict>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107302">
      <w:rPr>
        <w:noProof/>
        <w:sz w:val="20"/>
        <w:szCs w:val="20"/>
      </w:rPr>
      <w:t>9</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ABD"/>
    <w:rsid w:val="00047A3B"/>
    <w:rsid w:val="00107302"/>
    <w:rsid w:val="001241DC"/>
    <w:rsid w:val="00130A67"/>
    <w:rsid w:val="001A4915"/>
    <w:rsid w:val="001F2267"/>
    <w:rsid w:val="00271200"/>
    <w:rsid w:val="002721F4"/>
    <w:rsid w:val="002812AA"/>
    <w:rsid w:val="00284362"/>
    <w:rsid w:val="00296652"/>
    <w:rsid w:val="002F5A77"/>
    <w:rsid w:val="00320C5A"/>
    <w:rsid w:val="003270C9"/>
    <w:rsid w:val="0034763E"/>
    <w:rsid w:val="00353954"/>
    <w:rsid w:val="00376441"/>
    <w:rsid w:val="003931A9"/>
    <w:rsid w:val="004146C9"/>
    <w:rsid w:val="00437053"/>
    <w:rsid w:val="00491C09"/>
    <w:rsid w:val="004D17CC"/>
    <w:rsid w:val="004D1CFA"/>
    <w:rsid w:val="00532871"/>
    <w:rsid w:val="005400C0"/>
    <w:rsid w:val="00565488"/>
    <w:rsid w:val="005B3F03"/>
    <w:rsid w:val="005E387D"/>
    <w:rsid w:val="005F0065"/>
    <w:rsid w:val="005F1B78"/>
    <w:rsid w:val="005F2D68"/>
    <w:rsid w:val="00600A4F"/>
    <w:rsid w:val="006056CF"/>
    <w:rsid w:val="00613907"/>
    <w:rsid w:val="006A6A85"/>
    <w:rsid w:val="006D6CFE"/>
    <w:rsid w:val="006D7C8B"/>
    <w:rsid w:val="00704C75"/>
    <w:rsid w:val="00706E0D"/>
    <w:rsid w:val="007101DA"/>
    <w:rsid w:val="00720802"/>
    <w:rsid w:val="0072155A"/>
    <w:rsid w:val="007269F2"/>
    <w:rsid w:val="0074353D"/>
    <w:rsid w:val="007778A9"/>
    <w:rsid w:val="007B7288"/>
    <w:rsid w:val="00800213"/>
    <w:rsid w:val="00815198"/>
    <w:rsid w:val="00815365"/>
    <w:rsid w:val="0081639F"/>
    <w:rsid w:val="008332CB"/>
    <w:rsid w:val="0084602C"/>
    <w:rsid w:val="008741C7"/>
    <w:rsid w:val="00880ABD"/>
    <w:rsid w:val="008A3D34"/>
    <w:rsid w:val="008B7D59"/>
    <w:rsid w:val="00912EDA"/>
    <w:rsid w:val="0092658F"/>
    <w:rsid w:val="009734FE"/>
    <w:rsid w:val="00973699"/>
    <w:rsid w:val="00986650"/>
    <w:rsid w:val="009D1D8D"/>
    <w:rsid w:val="00A069E2"/>
    <w:rsid w:val="00A12562"/>
    <w:rsid w:val="00A5679B"/>
    <w:rsid w:val="00A854CC"/>
    <w:rsid w:val="00A968FE"/>
    <w:rsid w:val="00AA3AD6"/>
    <w:rsid w:val="00AA4A63"/>
    <w:rsid w:val="00AB7978"/>
    <w:rsid w:val="00AD413C"/>
    <w:rsid w:val="00AF5B6E"/>
    <w:rsid w:val="00B56AD7"/>
    <w:rsid w:val="00B66396"/>
    <w:rsid w:val="00B86724"/>
    <w:rsid w:val="00C06499"/>
    <w:rsid w:val="00C16E8D"/>
    <w:rsid w:val="00C428DA"/>
    <w:rsid w:val="00C7456E"/>
    <w:rsid w:val="00C81BBA"/>
    <w:rsid w:val="00C86FAA"/>
    <w:rsid w:val="00CC7791"/>
    <w:rsid w:val="00D615F5"/>
    <w:rsid w:val="00D66241"/>
    <w:rsid w:val="00D71804"/>
    <w:rsid w:val="00D73C82"/>
    <w:rsid w:val="00DD1D86"/>
    <w:rsid w:val="00E46FEA"/>
    <w:rsid w:val="00E51E5B"/>
    <w:rsid w:val="00E86AF2"/>
    <w:rsid w:val="00E86C3C"/>
    <w:rsid w:val="00EA17C2"/>
    <w:rsid w:val="00EB005E"/>
    <w:rsid w:val="00EC0FEF"/>
    <w:rsid w:val="00EC4BB0"/>
    <w:rsid w:val="00ED0306"/>
    <w:rsid w:val="00ED58A4"/>
    <w:rsid w:val="00EF6BA8"/>
    <w:rsid w:val="00F168C2"/>
    <w:rsid w:val="00F2360A"/>
    <w:rsid w:val="00F92E7B"/>
    <w:rsid w:val="00FC05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98C18DB-7BEC-4462-A5C5-B13B1EE2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3">
    <w:name w:val="heading 3"/>
    <w:basedOn w:val="Normal"/>
    <w:next w:val="Normal"/>
    <w:link w:val="Ttulo3Char"/>
    <w:uiPriority w:val="9"/>
    <w:semiHidden/>
    <w:unhideWhenUsed/>
    <w:qFormat/>
    <w:rsid w:val="00B66396"/>
    <w:pPr>
      <w:keepNext/>
      <w:spacing w:before="240" w:after="60"/>
      <w:outlineLvl w:val="2"/>
    </w:pPr>
    <w:rPr>
      <w:rFonts w:ascii="Cambria" w:eastAsia="Times New Roman" w:hAnsi="Cambria"/>
      <w:b/>
      <w:bCs/>
      <w:sz w:val="26"/>
      <w:szCs w:val="26"/>
    </w:rPr>
  </w:style>
  <w:style w:type="paragraph" w:styleId="Ttulo6">
    <w:name w:val="heading 6"/>
    <w:basedOn w:val="Normal"/>
    <w:next w:val="Normal"/>
    <w:link w:val="Ttulo6Char"/>
    <w:uiPriority w:val="9"/>
    <w:semiHidden/>
    <w:unhideWhenUsed/>
    <w:qFormat/>
    <w:rsid w:val="006056CF"/>
    <w:pPr>
      <w:spacing w:before="240" w:after="60"/>
      <w:outlineLvl w:val="5"/>
    </w:pPr>
    <w:rPr>
      <w:rFonts w:ascii="Calibri" w:eastAsia="Times New Roman" w:hAnsi="Calibri"/>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customStyle="1" w:styleId="Ttulo3Char">
    <w:name w:val="Título 3 Char"/>
    <w:link w:val="Ttulo3"/>
    <w:uiPriority w:val="9"/>
    <w:semiHidden/>
    <w:rsid w:val="00B66396"/>
    <w:rPr>
      <w:rFonts w:ascii="Cambria" w:eastAsia="Times New Roman" w:hAnsi="Cambria" w:cs="Times New Roman"/>
      <w:b/>
      <w:bCs/>
      <w:sz w:val="26"/>
      <w:szCs w:val="26"/>
      <w:lang w:eastAsia="en-US"/>
    </w:rPr>
  </w:style>
  <w:style w:type="character" w:customStyle="1" w:styleId="sheader6">
    <w:name w:val="sheader6"/>
    <w:rsid w:val="00720802"/>
  </w:style>
  <w:style w:type="table" w:customStyle="1" w:styleId="Tabelacomgrade7">
    <w:name w:val="Tabela com grade7"/>
    <w:basedOn w:val="Tabelanormal"/>
    <w:next w:val="Tabelacomgrade"/>
    <w:rsid w:val="007778A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77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nhideWhenUsed/>
    <w:qFormat/>
    <w:rsid w:val="007778A9"/>
    <w:pPr>
      <w:spacing w:after="0" w:line="240" w:lineRule="auto"/>
    </w:pPr>
    <w:rPr>
      <w:bCs/>
      <w:sz w:val="21"/>
      <w:szCs w:val="18"/>
      <w:lang w:eastAsia="pt-BR"/>
    </w:rPr>
  </w:style>
  <w:style w:type="table" w:customStyle="1" w:styleId="Tabelacomgrade1">
    <w:name w:val="Tabela com grade1"/>
    <w:basedOn w:val="Tabelanormal"/>
    <w:next w:val="Tabelacomgrade"/>
    <w:uiPriority w:val="59"/>
    <w:rsid w:val="007778A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uiPriority w:val="20"/>
    <w:qFormat/>
    <w:rsid w:val="00FC052F"/>
    <w:rPr>
      <w:i/>
      <w:iCs/>
    </w:rPr>
  </w:style>
  <w:style w:type="character" w:customStyle="1" w:styleId="apple-converted-space">
    <w:name w:val="apple-converted-space"/>
    <w:rsid w:val="005F2D68"/>
  </w:style>
  <w:style w:type="character" w:styleId="Forte">
    <w:name w:val="Strong"/>
    <w:uiPriority w:val="22"/>
    <w:qFormat/>
    <w:rsid w:val="005F2D68"/>
    <w:rPr>
      <w:b/>
      <w:bCs/>
    </w:rPr>
  </w:style>
  <w:style w:type="character" w:customStyle="1" w:styleId="Ttulo6Char">
    <w:name w:val="Título 6 Char"/>
    <w:link w:val="Ttulo6"/>
    <w:uiPriority w:val="9"/>
    <w:semiHidden/>
    <w:rsid w:val="006056CF"/>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868354">
      <w:bodyDiv w:val="1"/>
      <w:marLeft w:val="0"/>
      <w:marRight w:val="0"/>
      <w:marTop w:val="0"/>
      <w:marBottom w:val="0"/>
      <w:divBdr>
        <w:top w:val="none" w:sz="0" w:space="0" w:color="auto"/>
        <w:left w:val="none" w:sz="0" w:space="0" w:color="auto"/>
        <w:bottom w:val="none" w:sz="0" w:space="0" w:color="auto"/>
        <w:right w:val="none" w:sz="0" w:space="0" w:color="auto"/>
      </w:divBdr>
      <w:divsChild>
        <w:div w:id="2037727941">
          <w:marLeft w:val="0"/>
          <w:marRight w:val="0"/>
          <w:marTop w:val="0"/>
          <w:marBottom w:val="0"/>
          <w:divBdr>
            <w:top w:val="single" w:sz="6" w:space="16" w:color="414141"/>
            <w:left w:val="single" w:sz="6" w:space="18" w:color="414141"/>
            <w:bottom w:val="single" w:sz="6" w:space="0" w:color="414141"/>
            <w:right w:val="single" w:sz="6" w:space="31" w:color="414141"/>
          </w:divBdr>
          <w:divsChild>
            <w:div w:id="1135174489">
              <w:marLeft w:val="0"/>
              <w:marRight w:val="0"/>
              <w:marTop w:val="0"/>
              <w:marBottom w:val="0"/>
              <w:divBdr>
                <w:top w:val="none" w:sz="0" w:space="0" w:color="auto"/>
                <w:left w:val="none" w:sz="0" w:space="0" w:color="auto"/>
                <w:bottom w:val="none" w:sz="0" w:space="0" w:color="auto"/>
                <w:right w:val="none" w:sz="0" w:space="0" w:color="auto"/>
              </w:divBdr>
            </w:div>
          </w:divsChild>
        </w:div>
        <w:div w:id="1034964884">
          <w:marLeft w:val="0"/>
          <w:marRight w:val="0"/>
          <w:marTop w:val="0"/>
          <w:marBottom w:val="0"/>
          <w:divBdr>
            <w:top w:val="single" w:sz="6" w:space="16" w:color="414141"/>
            <w:left w:val="single" w:sz="6" w:space="18" w:color="414141"/>
            <w:bottom w:val="single" w:sz="6" w:space="0" w:color="414141"/>
            <w:right w:val="single" w:sz="6" w:space="31" w:color="414141"/>
          </w:divBdr>
          <w:divsChild>
            <w:div w:id="294067607">
              <w:marLeft w:val="0"/>
              <w:marRight w:val="0"/>
              <w:marTop w:val="0"/>
              <w:marBottom w:val="0"/>
              <w:divBdr>
                <w:top w:val="none" w:sz="0" w:space="0" w:color="auto"/>
                <w:left w:val="none" w:sz="0" w:space="0" w:color="auto"/>
                <w:bottom w:val="none" w:sz="0" w:space="0" w:color="auto"/>
                <w:right w:val="none" w:sz="0" w:space="0" w:color="auto"/>
              </w:divBdr>
            </w:div>
          </w:divsChild>
        </w:div>
        <w:div w:id="1630890465">
          <w:marLeft w:val="0"/>
          <w:marRight w:val="0"/>
          <w:marTop w:val="0"/>
          <w:marBottom w:val="0"/>
          <w:divBdr>
            <w:top w:val="single" w:sz="6" w:space="16" w:color="414141"/>
            <w:left w:val="single" w:sz="6" w:space="18" w:color="414141"/>
            <w:bottom w:val="single" w:sz="6" w:space="0" w:color="414141"/>
            <w:right w:val="single" w:sz="6" w:space="31" w:color="414141"/>
          </w:divBdr>
          <w:divsChild>
            <w:div w:id="2103645418">
              <w:marLeft w:val="0"/>
              <w:marRight w:val="0"/>
              <w:marTop w:val="0"/>
              <w:marBottom w:val="0"/>
              <w:divBdr>
                <w:top w:val="none" w:sz="0" w:space="0" w:color="auto"/>
                <w:left w:val="none" w:sz="0" w:space="0" w:color="auto"/>
                <w:bottom w:val="none" w:sz="0" w:space="0" w:color="auto"/>
                <w:right w:val="none" w:sz="0" w:space="0" w:color="auto"/>
              </w:divBdr>
            </w:div>
          </w:divsChild>
        </w:div>
        <w:div w:id="709917174">
          <w:marLeft w:val="0"/>
          <w:marRight w:val="0"/>
          <w:marTop w:val="0"/>
          <w:marBottom w:val="0"/>
          <w:divBdr>
            <w:top w:val="single" w:sz="6" w:space="16" w:color="414141"/>
            <w:left w:val="single" w:sz="6" w:space="18" w:color="414141"/>
            <w:bottom w:val="single" w:sz="6" w:space="0" w:color="414141"/>
            <w:right w:val="single" w:sz="6" w:space="31" w:color="414141"/>
          </w:divBdr>
          <w:divsChild>
            <w:div w:id="1077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veiro.susa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essa.engenhariapesc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nuner@ufsc.br" TargetMode="External"/><Relationship Id="rId5" Type="http://schemas.openxmlformats.org/officeDocument/2006/relationships/footnotes" Target="footnotes.xml"/><Relationship Id="rId10" Type="http://schemas.openxmlformats.org/officeDocument/2006/relationships/hyperlink" Target="mailto:luciano@lapad.ufsc.br" TargetMode="External"/><Relationship Id="rId4" Type="http://schemas.openxmlformats.org/officeDocument/2006/relationships/webSettings" Target="webSettings.xml"/><Relationship Id="rId9" Type="http://schemas.openxmlformats.org/officeDocument/2006/relationships/hyperlink" Target="mailto:jurandirjbj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10</Pages>
  <Words>4051</Words>
  <Characters>21880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25880</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Vanessa</cp:lastModifiedBy>
  <cp:revision>68</cp:revision>
  <dcterms:created xsi:type="dcterms:W3CDTF">2017-07-17T15:03:00Z</dcterms:created>
  <dcterms:modified xsi:type="dcterms:W3CDTF">2017-08-21T10:23:00Z</dcterms:modified>
</cp:coreProperties>
</file>