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33" w:rsidRDefault="001F7452" w:rsidP="001F7452">
      <w:pPr>
        <w:spacing w:line="240" w:lineRule="auto"/>
        <w:jc w:val="center"/>
        <w:rPr>
          <w:b/>
        </w:rPr>
      </w:pPr>
      <w:r w:rsidRPr="001F7452">
        <w:rPr>
          <w:b/>
        </w:rPr>
        <w:t xml:space="preserve">Proposta </w:t>
      </w:r>
      <w:r>
        <w:rPr>
          <w:b/>
        </w:rPr>
        <w:t>d</w:t>
      </w:r>
      <w:r w:rsidRPr="001F7452">
        <w:rPr>
          <w:b/>
        </w:rPr>
        <w:t xml:space="preserve">e Identificação </w:t>
      </w:r>
      <w:r>
        <w:rPr>
          <w:b/>
        </w:rPr>
        <w:t>d</w:t>
      </w:r>
      <w:r w:rsidRPr="001F7452">
        <w:rPr>
          <w:b/>
        </w:rPr>
        <w:t>e G</w:t>
      </w:r>
      <w:r>
        <w:rPr>
          <w:b/>
        </w:rPr>
        <w:t>SR</w:t>
      </w:r>
      <w:r w:rsidRPr="001F7452">
        <w:rPr>
          <w:b/>
        </w:rPr>
        <w:t xml:space="preserve"> </w:t>
      </w:r>
      <w:r w:rsidR="003B04B0">
        <w:rPr>
          <w:b/>
        </w:rPr>
        <w:t>de munição NTA</w:t>
      </w:r>
      <w:r>
        <w:rPr>
          <w:b/>
        </w:rPr>
        <w:t xml:space="preserve"> por Aspectos Morfológicos e </w:t>
      </w:r>
      <w:r w:rsidR="005404A0">
        <w:rPr>
          <w:b/>
        </w:rPr>
        <w:br/>
      </w:r>
      <w:r>
        <w:rPr>
          <w:b/>
        </w:rPr>
        <w:t xml:space="preserve">Químicos </w:t>
      </w:r>
      <w:r w:rsidR="005404A0">
        <w:rPr>
          <w:b/>
        </w:rPr>
        <w:t>utilizando</w:t>
      </w:r>
      <w:r>
        <w:rPr>
          <w:b/>
        </w:rPr>
        <w:t xml:space="preserve"> MEV/EDS</w:t>
      </w:r>
    </w:p>
    <w:p w:rsidR="005404A0" w:rsidRPr="00813F18" w:rsidRDefault="005404A0" w:rsidP="001F7452">
      <w:pPr>
        <w:spacing w:line="240" w:lineRule="auto"/>
        <w:jc w:val="center"/>
      </w:pPr>
    </w:p>
    <w:p w:rsidR="00817160" w:rsidRPr="00DF5A16" w:rsidRDefault="00DF5A16" w:rsidP="00824730">
      <w:pPr>
        <w:spacing w:line="240" w:lineRule="auto"/>
        <w:jc w:val="center"/>
        <w:rPr>
          <w:b/>
          <w:lang w:val="en-US"/>
        </w:rPr>
      </w:pPr>
      <w:r w:rsidRPr="00DF5A16">
        <w:rPr>
          <w:b/>
          <w:lang w:val="en-US"/>
        </w:rPr>
        <w:t>P.R.O. Frank</w:t>
      </w:r>
      <w:r>
        <w:rPr>
          <w:b/>
          <w:vertAlign w:val="superscript"/>
          <w:lang w:val="en-US"/>
        </w:rPr>
        <w:t>1</w:t>
      </w:r>
      <w:r w:rsidRPr="00DF5A16">
        <w:rPr>
          <w:b/>
          <w:lang w:val="en-US"/>
        </w:rPr>
        <w:t>, R.</w:t>
      </w:r>
      <w:r w:rsidR="003F6A7C" w:rsidRPr="00DF5A16">
        <w:rPr>
          <w:b/>
          <w:lang w:val="en-US"/>
        </w:rPr>
        <w:t xml:space="preserve"> </w:t>
      </w:r>
      <w:r w:rsidR="001F7452" w:rsidRPr="00DF5A16">
        <w:rPr>
          <w:b/>
          <w:lang w:val="en-US"/>
        </w:rPr>
        <w:t>Hinrichs</w:t>
      </w:r>
      <w:r w:rsidRPr="00DF5A16">
        <w:rPr>
          <w:b/>
          <w:vertAlign w:val="superscript"/>
          <w:lang w:val="en-US"/>
        </w:rPr>
        <w:t>2</w:t>
      </w:r>
      <w:r w:rsidR="00FC71F5" w:rsidRPr="00DF5A16">
        <w:rPr>
          <w:b/>
          <w:lang w:val="en-US"/>
        </w:rPr>
        <w:t>,</w:t>
      </w:r>
      <w:r w:rsidR="001F7452" w:rsidRPr="00DF5A16">
        <w:rPr>
          <w:b/>
          <w:lang w:val="en-US"/>
        </w:rPr>
        <w:t xml:space="preserve"> M.A.Z. Vasconcellos</w:t>
      </w:r>
      <w:r w:rsidRPr="00DF5A16">
        <w:rPr>
          <w:b/>
          <w:vertAlign w:val="superscript"/>
          <w:lang w:val="en-US"/>
        </w:rPr>
        <w:t>2</w:t>
      </w:r>
      <w:r w:rsidR="001F7452" w:rsidRPr="00DF5A16">
        <w:rPr>
          <w:b/>
          <w:lang w:val="en-US"/>
        </w:rPr>
        <w:t xml:space="preserve">, </w:t>
      </w:r>
    </w:p>
    <w:p w:rsidR="00DF5A16" w:rsidRPr="00F6162F" w:rsidRDefault="00DF5A16" w:rsidP="00DF5A16">
      <w:pPr>
        <w:spacing w:line="240" w:lineRule="auto"/>
        <w:jc w:val="center"/>
        <w:rPr>
          <w:rFonts w:eastAsiaTheme="minorHAnsi"/>
          <w:sz w:val="20"/>
          <w:szCs w:val="20"/>
          <w:lang w:eastAsia="en-US"/>
        </w:rPr>
      </w:pPr>
      <w:r>
        <w:rPr>
          <w:sz w:val="20"/>
          <w:szCs w:val="20"/>
          <w:vertAlign w:val="superscript"/>
        </w:rPr>
        <w:t>1</w:t>
      </w:r>
      <w:r>
        <w:rPr>
          <w:i/>
          <w:sz w:val="20"/>
          <w:szCs w:val="20"/>
        </w:rPr>
        <w:t xml:space="preserve">Departamento de Criminalística - </w:t>
      </w:r>
      <w:r w:rsidRPr="005404A0">
        <w:rPr>
          <w:i/>
          <w:sz w:val="20"/>
          <w:szCs w:val="20"/>
        </w:rPr>
        <w:t>Instituto Geral de Perícias</w:t>
      </w:r>
      <w:r>
        <w:rPr>
          <w:i/>
          <w:sz w:val="20"/>
          <w:szCs w:val="20"/>
        </w:rPr>
        <w:t xml:space="preserve"> do Rio Grande do Sul</w:t>
      </w:r>
      <w:r w:rsidRPr="005404A0">
        <w:rPr>
          <w:i/>
          <w:sz w:val="20"/>
          <w:szCs w:val="20"/>
        </w:rPr>
        <w:t>, Porto Alegre, RS, Brasil</w:t>
      </w:r>
    </w:p>
    <w:p w:rsidR="005404A0" w:rsidRPr="005404A0" w:rsidRDefault="00DF5A16" w:rsidP="005404A0">
      <w:pPr>
        <w:spacing w:line="240" w:lineRule="auto"/>
        <w:jc w:val="center"/>
        <w:rPr>
          <w:i/>
          <w:sz w:val="20"/>
          <w:szCs w:val="20"/>
        </w:rPr>
      </w:pPr>
      <w:r>
        <w:rPr>
          <w:sz w:val="20"/>
          <w:szCs w:val="20"/>
          <w:vertAlign w:val="superscript"/>
        </w:rPr>
        <w:t>2</w:t>
      </w:r>
      <w:r w:rsidR="005404A0" w:rsidRPr="005404A0">
        <w:rPr>
          <w:i/>
          <w:sz w:val="20"/>
          <w:szCs w:val="20"/>
        </w:rPr>
        <w:t>U</w:t>
      </w:r>
      <w:r w:rsidR="005404A0">
        <w:rPr>
          <w:i/>
          <w:sz w:val="20"/>
          <w:szCs w:val="20"/>
        </w:rPr>
        <w:t>niversidade Federal do Rio Grande do Sul, U</w:t>
      </w:r>
      <w:r w:rsidR="005404A0" w:rsidRPr="005404A0">
        <w:rPr>
          <w:i/>
          <w:sz w:val="20"/>
          <w:szCs w:val="20"/>
        </w:rPr>
        <w:t xml:space="preserve">FRGS, </w:t>
      </w:r>
      <w:r w:rsidR="005404A0">
        <w:rPr>
          <w:i/>
          <w:sz w:val="20"/>
          <w:szCs w:val="20"/>
        </w:rPr>
        <w:t xml:space="preserve">c.p. 15051, </w:t>
      </w:r>
      <w:r w:rsidR="005404A0" w:rsidRPr="005404A0">
        <w:rPr>
          <w:i/>
          <w:sz w:val="20"/>
          <w:szCs w:val="20"/>
        </w:rPr>
        <w:t xml:space="preserve">Porto Alegre, </w:t>
      </w:r>
      <w:r w:rsidR="005404A0">
        <w:rPr>
          <w:i/>
          <w:sz w:val="20"/>
          <w:szCs w:val="20"/>
        </w:rPr>
        <w:t>RS</w:t>
      </w:r>
      <w:r w:rsidR="005404A0" w:rsidRPr="005404A0">
        <w:rPr>
          <w:i/>
          <w:sz w:val="20"/>
          <w:szCs w:val="20"/>
        </w:rPr>
        <w:t xml:space="preserve">, Brasil, 91501-970 </w:t>
      </w:r>
    </w:p>
    <w:p w:rsidR="006B0CC4" w:rsidRPr="00FC71F5" w:rsidRDefault="006B0CC4" w:rsidP="00824730">
      <w:pPr>
        <w:spacing w:line="240" w:lineRule="auto"/>
        <w:jc w:val="center"/>
      </w:pPr>
    </w:p>
    <w:p w:rsidR="005404A0" w:rsidRPr="005404A0" w:rsidRDefault="005404A0" w:rsidP="005404A0">
      <w:pPr>
        <w:spacing w:line="240" w:lineRule="auto"/>
        <w:rPr>
          <w:sz w:val="22"/>
          <w:szCs w:val="22"/>
        </w:rPr>
      </w:pPr>
      <w:r>
        <w:rPr>
          <w:sz w:val="22"/>
          <w:szCs w:val="22"/>
        </w:rPr>
        <w:tab/>
      </w:r>
      <w:r w:rsidRPr="007D2E5C">
        <w:rPr>
          <w:sz w:val="22"/>
          <w:szCs w:val="22"/>
        </w:rPr>
        <w:t>A introdução de munição do tipo NTA (</w:t>
      </w:r>
      <w:r w:rsidRPr="00754CBE">
        <w:rPr>
          <w:i/>
          <w:sz w:val="22"/>
          <w:szCs w:val="22"/>
        </w:rPr>
        <w:t>non toxic ammunition</w:t>
      </w:r>
      <w:r w:rsidRPr="007D2E5C">
        <w:rPr>
          <w:sz w:val="22"/>
          <w:szCs w:val="22"/>
        </w:rPr>
        <w:t>, conhecida também como “</w:t>
      </w:r>
      <w:r w:rsidR="000B31BB">
        <w:rPr>
          <w:sz w:val="22"/>
          <w:szCs w:val="22"/>
        </w:rPr>
        <w:t>S</w:t>
      </w:r>
      <w:r w:rsidRPr="007D2E5C">
        <w:rPr>
          <w:sz w:val="22"/>
          <w:szCs w:val="22"/>
        </w:rPr>
        <w:t>intox”) implica uma mudança de paradigma na identificação de resíduos de disparo, que desde a introdução da munição com propelente convencional do tipo “</w:t>
      </w:r>
      <w:r w:rsidR="003B04B0">
        <w:rPr>
          <w:sz w:val="22"/>
          <w:szCs w:val="22"/>
        </w:rPr>
        <w:t>S</w:t>
      </w:r>
      <w:r w:rsidRPr="007D2E5C">
        <w:rPr>
          <w:sz w:val="22"/>
          <w:szCs w:val="22"/>
        </w:rPr>
        <w:t>inoxid”</w:t>
      </w:r>
      <w:r w:rsidR="00DF5A16">
        <w:rPr>
          <w:sz w:val="22"/>
          <w:szCs w:val="22"/>
        </w:rPr>
        <w:t xml:space="preserve"> são identificados</w:t>
      </w:r>
      <w:r w:rsidR="00754CBE">
        <w:rPr>
          <w:sz w:val="22"/>
          <w:szCs w:val="22"/>
        </w:rPr>
        <w:t xml:space="preserve"> pela</w:t>
      </w:r>
      <w:r w:rsidRPr="007D2E5C">
        <w:rPr>
          <w:sz w:val="22"/>
          <w:szCs w:val="22"/>
        </w:rPr>
        <w:t xml:space="preserve"> presença simultânea de Sb, Ba e Pb em partículas com morfologia esferoidal</w:t>
      </w:r>
      <w:r w:rsidR="00754CBE">
        <w:rPr>
          <w:sz w:val="22"/>
          <w:szCs w:val="22"/>
        </w:rPr>
        <w:t xml:space="preserve"> </w:t>
      </w:r>
      <w:r w:rsidR="00DF5A16">
        <w:rPr>
          <w:sz w:val="22"/>
          <w:szCs w:val="22"/>
        </w:rPr>
        <w:t>[1]</w:t>
      </w:r>
      <w:r w:rsidRPr="007D2E5C">
        <w:rPr>
          <w:sz w:val="22"/>
          <w:szCs w:val="22"/>
        </w:rPr>
        <w:t xml:space="preserve">. </w:t>
      </w:r>
      <w:r w:rsidR="00754CBE">
        <w:rPr>
          <w:sz w:val="22"/>
          <w:szCs w:val="22"/>
        </w:rPr>
        <w:t>A</w:t>
      </w:r>
      <w:r w:rsidRPr="007D2E5C">
        <w:rPr>
          <w:sz w:val="22"/>
          <w:szCs w:val="22"/>
        </w:rPr>
        <w:t xml:space="preserve"> mistura iniciadora de munição NTA não contém mais esses elementos pesados </w:t>
      </w:r>
      <w:r w:rsidR="00754CBE">
        <w:rPr>
          <w:sz w:val="22"/>
          <w:szCs w:val="22"/>
        </w:rPr>
        <w:t xml:space="preserve">e seus </w:t>
      </w:r>
      <w:r w:rsidRPr="007D2E5C">
        <w:rPr>
          <w:sz w:val="22"/>
          <w:szCs w:val="22"/>
        </w:rPr>
        <w:t xml:space="preserve">resíduos de disparo </w:t>
      </w:r>
      <w:r w:rsidR="00DF5A16">
        <w:rPr>
          <w:sz w:val="22"/>
          <w:szCs w:val="22"/>
        </w:rPr>
        <w:t>são compostos</w:t>
      </w:r>
      <w:r w:rsidRPr="007D2E5C">
        <w:rPr>
          <w:sz w:val="22"/>
          <w:szCs w:val="22"/>
        </w:rPr>
        <w:t xml:space="preserve"> </w:t>
      </w:r>
      <w:r>
        <w:rPr>
          <w:sz w:val="22"/>
          <w:szCs w:val="22"/>
        </w:rPr>
        <w:t xml:space="preserve">principalmente </w:t>
      </w:r>
      <w:r w:rsidR="00DF5A16">
        <w:rPr>
          <w:sz w:val="22"/>
          <w:szCs w:val="22"/>
        </w:rPr>
        <w:t xml:space="preserve">de óxidos de </w:t>
      </w:r>
      <w:r w:rsidRPr="007D2E5C">
        <w:rPr>
          <w:sz w:val="22"/>
          <w:szCs w:val="22"/>
        </w:rPr>
        <w:t xml:space="preserve">elementos </w:t>
      </w:r>
      <w:r w:rsidR="00754CBE" w:rsidRPr="007D2E5C">
        <w:rPr>
          <w:sz w:val="22"/>
          <w:szCs w:val="22"/>
        </w:rPr>
        <w:t>de baixo número atômico</w:t>
      </w:r>
      <w:r w:rsidR="00DF5A16">
        <w:rPr>
          <w:sz w:val="22"/>
          <w:szCs w:val="22"/>
        </w:rPr>
        <w:t xml:space="preserve"> [2]</w:t>
      </w:r>
      <w:r w:rsidRPr="007D2E5C">
        <w:rPr>
          <w:sz w:val="22"/>
          <w:szCs w:val="22"/>
        </w:rPr>
        <w:t xml:space="preserve">, presentes </w:t>
      </w:r>
      <w:r>
        <w:rPr>
          <w:sz w:val="22"/>
          <w:szCs w:val="22"/>
        </w:rPr>
        <w:t xml:space="preserve">também </w:t>
      </w:r>
      <w:r w:rsidRPr="007D2E5C">
        <w:rPr>
          <w:sz w:val="22"/>
          <w:szCs w:val="22"/>
        </w:rPr>
        <w:t xml:space="preserve">em inúmeros minerais </w:t>
      </w:r>
      <w:r>
        <w:rPr>
          <w:sz w:val="22"/>
          <w:szCs w:val="22"/>
        </w:rPr>
        <w:t>d</w:t>
      </w:r>
      <w:r w:rsidRPr="007D2E5C">
        <w:rPr>
          <w:sz w:val="22"/>
          <w:szCs w:val="22"/>
        </w:rPr>
        <w:t>a crosta terrestre</w:t>
      </w:r>
      <w:r>
        <w:rPr>
          <w:sz w:val="22"/>
          <w:szCs w:val="22"/>
        </w:rPr>
        <w:t xml:space="preserve">. </w:t>
      </w:r>
      <w:r w:rsidRPr="007D2E5C">
        <w:rPr>
          <w:sz w:val="22"/>
          <w:szCs w:val="22"/>
        </w:rPr>
        <w:t xml:space="preserve">Desta forma o estabelecimento de uma categoria </w:t>
      </w:r>
      <w:r w:rsidRPr="005404A0">
        <w:rPr>
          <w:sz w:val="22"/>
          <w:szCs w:val="22"/>
        </w:rPr>
        <w:t>característica</w:t>
      </w:r>
      <w:r w:rsidR="00DF5A16">
        <w:rPr>
          <w:sz w:val="22"/>
          <w:szCs w:val="22"/>
        </w:rPr>
        <w:t xml:space="preserve"> de partículas GSR</w:t>
      </w:r>
      <w:r w:rsidRPr="005404A0">
        <w:rPr>
          <w:sz w:val="22"/>
          <w:szCs w:val="22"/>
        </w:rPr>
        <w:t xml:space="preserve"> é dificultado, tendo em vista que qualquer contaminação com minerais </w:t>
      </w:r>
      <w:r w:rsidR="003B04B0">
        <w:rPr>
          <w:sz w:val="22"/>
          <w:szCs w:val="22"/>
        </w:rPr>
        <w:t>ambientais</w:t>
      </w:r>
      <w:r w:rsidRPr="005404A0">
        <w:rPr>
          <w:sz w:val="22"/>
          <w:szCs w:val="22"/>
        </w:rPr>
        <w:t xml:space="preserve"> poderia resultar num falso positivo. Torna-se portanto imperioso o estabelecimento de novos parâmetros de identificação de resíduos de disparo.</w:t>
      </w:r>
    </w:p>
    <w:p w:rsidR="00C00257" w:rsidRDefault="005404A0" w:rsidP="00C00257">
      <w:pPr>
        <w:spacing w:line="240" w:lineRule="auto"/>
        <w:rPr>
          <w:sz w:val="22"/>
          <w:szCs w:val="22"/>
        </w:rPr>
      </w:pPr>
      <w:r w:rsidRPr="005404A0">
        <w:rPr>
          <w:sz w:val="22"/>
          <w:szCs w:val="22"/>
        </w:rPr>
        <w:tab/>
        <w:t xml:space="preserve">Para a análise de GSR </w:t>
      </w:r>
      <w:r w:rsidR="003B04B0">
        <w:rPr>
          <w:sz w:val="22"/>
          <w:szCs w:val="22"/>
        </w:rPr>
        <w:t>de munição NTA</w:t>
      </w:r>
      <w:r w:rsidRPr="005404A0">
        <w:rPr>
          <w:sz w:val="22"/>
          <w:szCs w:val="22"/>
        </w:rPr>
        <w:t xml:space="preserve"> foram disparados 8 tiros em anteparos poliméricos utilizando um revólver marca Taurus .38 special</w:t>
      </w:r>
      <w:r w:rsidR="000B31BB">
        <w:rPr>
          <w:sz w:val="22"/>
          <w:szCs w:val="22"/>
        </w:rPr>
        <w:t xml:space="preserve"> </w:t>
      </w:r>
      <w:r w:rsidRPr="005404A0">
        <w:rPr>
          <w:sz w:val="22"/>
          <w:szCs w:val="22"/>
        </w:rPr>
        <w:t>com munição CBC-NTA</w:t>
      </w:r>
      <w:r w:rsidR="00754CBE">
        <w:rPr>
          <w:sz w:val="22"/>
          <w:szCs w:val="22"/>
        </w:rPr>
        <w:t xml:space="preserve"> encamisada</w:t>
      </w:r>
      <w:r w:rsidRPr="005404A0">
        <w:rPr>
          <w:sz w:val="22"/>
          <w:szCs w:val="22"/>
        </w:rPr>
        <w:t xml:space="preserve">. </w:t>
      </w:r>
      <w:r>
        <w:rPr>
          <w:sz w:val="22"/>
          <w:szCs w:val="22"/>
        </w:rPr>
        <w:t>A arma</w:t>
      </w:r>
      <w:r w:rsidR="000F29D7">
        <w:rPr>
          <w:sz w:val="22"/>
          <w:szCs w:val="22"/>
        </w:rPr>
        <w:t xml:space="preserve"> </w:t>
      </w:r>
      <w:r>
        <w:rPr>
          <w:sz w:val="22"/>
          <w:szCs w:val="22"/>
        </w:rPr>
        <w:t>havia sido utilizada com munição convencional (Sin</w:t>
      </w:r>
      <w:r w:rsidR="000B31BB">
        <w:rPr>
          <w:sz w:val="22"/>
          <w:szCs w:val="22"/>
        </w:rPr>
        <w:t>oxid</w:t>
      </w:r>
      <w:r>
        <w:rPr>
          <w:sz w:val="22"/>
          <w:szCs w:val="22"/>
        </w:rPr>
        <w:t>, chumbo ogival) anteriormente</w:t>
      </w:r>
      <w:r w:rsidR="000F29D7">
        <w:rPr>
          <w:sz w:val="22"/>
          <w:szCs w:val="22"/>
        </w:rPr>
        <w:t>, e a expectativa era que os primeiros tiros removeriam a contaminação com chumbo do cano</w:t>
      </w:r>
      <w:r>
        <w:rPr>
          <w:sz w:val="22"/>
          <w:szCs w:val="22"/>
        </w:rPr>
        <w:t xml:space="preserve">. </w:t>
      </w:r>
      <w:r w:rsidRPr="005404A0">
        <w:rPr>
          <w:sz w:val="22"/>
          <w:szCs w:val="22"/>
        </w:rPr>
        <w:t>O resíduo foi coletado</w:t>
      </w:r>
      <w:r>
        <w:rPr>
          <w:sz w:val="22"/>
          <w:szCs w:val="22"/>
        </w:rPr>
        <w:t xml:space="preserve"> </w:t>
      </w:r>
      <w:r w:rsidR="00754CBE">
        <w:rPr>
          <w:sz w:val="22"/>
          <w:szCs w:val="22"/>
        </w:rPr>
        <w:t>em</w:t>
      </w:r>
      <w:r>
        <w:rPr>
          <w:sz w:val="22"/>
          <w:szCs w:val="22"/>
        </w:rPr>
        <w:t xml:space="preserve"> anteparos </w:t>
      </w:r>
      <w:r w:rsidR="00754CBE">
        <w:rPr>
          <w:sz w:val="22"/>
          <w:szCs w:val="22"/>
        </w:rPr>
        <w:t>na</w:t>
      </w:r>
      <w:r>
        <w:rPr>
          <w:sz w:val="22"/>
          <w:szCs w:val="22"/>
        </w:rPr>
        <w:t xml:space="preserve"> culatra</w:t>
      </w:r>
      <w:r w:rsidR="00754CBE">
        <w:rPr>
          <w:sz w:val="22"/>
          <w:szCs w:val="22"/>
        </w:rPr>
        <w:t xml:space="preserve"> da arma e transferido para</w:t>
      </w:r>
      <w:r w:rsidRPr="005404A0">
        <w:rPr>
          <w:sz w:val="22"/>
          <w:szCs w:val="22"/>
        </w:rPr>
        <w:t xml:space="preserve"> porta-amostras</w:t>
      </w:r>
      <w:r>
        <w:rPr>
          <w:sz w:val="22"/>
          <w:szCs w:val="22"/>
        </w:rPr>
        <w:t xml:space="preserve"> </w:t>
      </w:r>
      <w:r w:rsidR="00DF5A16">
        <w:rPr>
          <w:sz w:val="22"/>
          <w:szCs w:val="22"/>
        </w:rPr>
        <w:t>de</w:t>
      </w:r>
      <w:r>
        <w:rPr>
          <w:sz w:val="22"/>
          <w:szCs w:val="22"/>
        </w:rPr>
        <w:t xml:space="preserve"> MEV</w:t>
      </w:r>
      <w:r w:rsidRPr="005404A0">
        <w:rPr>
          <w:sz w:val="22"/>
          <w:szCs w:val="22"/>
        </w:rPr>
        <w:t xml:space="preserve"> recobertos com fita </w:t>
      </w:r>
      <w:r>
        <w:rPr>
          <w:sz w:val="22"/>
          <w:szCs w:val="22"/>
        </w:rPr>
        <w:t xml:space="preserve">adesiva </w:t>
      </w:r>
      <w:r w:rsidRPr="005404A0">
        <w:rPr>
          <w:sz w:val="22"/>
          <w:szCs w:val="22"/>
        </w:rPr>
        <w:t>dupla-face de carbono</w:t>
      </w:r>
      <w:r>
        <w:rPr>
          <w:sz w:val="22"/>
          <w:szCs w:val="22"/>
        </w:rPr>
        <w:t xml:space="preserve"> (</w:t>
      </w:r>
      <w:r w:rsidRPr="005404A0">
        <w:rPr>
          <w:i/>
          <w:sz w:val="22"/>
          <w:szCs w:val="22"/>
        </w:rPr>
        <w:t xml:space="preserve">SPI Supplies </w:t>
      </w:r>
      <w:r>
        <w:rPr>
          <w:i/>
          <w:sz w:val="22"/>
          <w:szCs w:val="22"/>
        </w:rPr>
        <w:t>d</w:t>
      </w:r>
      <w:r w:rsidRPr="005404A0">
        <w:rPr>
          <w:i/>
          <w:sz w:val="22"/>
          <w:szCs w:val="22"/>
        </w:rPr>
        <w:t xml:space="preserve">ouble </w:t>
      </w:r>
      <w:r>
        <w:rPr>
          <w:i/>
          <w:sz w:val="22"/>
          <w:szCs w:val="22"/>
        </w:rPr>
        <w:t>s</w:t>
      </w:r>
      <w:r w:rsidRPr="005404A0">
        <w:rPr>
          <w:i/>
          <w:sz w:val="22"/>
          <w:szCs w:val="22"/>
        </w:rPr>
        <w:t xml:space="preserve">ided </w:t>
      </w:r>
      <w:r>
        <w:rPr>
          <w:i/>
          <w:sz w:val="22"/>
          <w:szCs w:val="22"/>
        </w:rPr>
        <w:t>a</w:t>
      </w:r>
      <w:r w:rsidRPr="005404A0">
        <w:rPr>
          <w:i/>
          <w:sz w:val="22"/>
          <w:szCs w:val="22"/>
        </w:rPr>
        <w:t xml:space="preserve">dhesive </w:t>
      </w:r>
      <w:r>
        <w:rPr>
          <w:i/>
          <w:sz w:val="22"/>
          <w:szCs w:val="22"/>
        </w:rPr>
        <w:t>c</w:t>
      </w:r>
      <w:r w:rsidRPr="005404A0">
        <w:rPr>
          <w:i/>
          <w:sz w:val="22"/>
          <w:szCs w:val="22"/>
        </w:rPr>
        <w:t xml:space="preserve">arbon </w:t>
      </w:r>
      <w:r>
        <w:rPr>
          <w:i/>
          <w:sz w:val="22"/>
          <w:szCs w:val="22"/>
        </w:rPr>
        <w:t>t</w:t>
      </w:r>
      <w:r w:rsidRPr="005404A0">
        <w:rPr>
          <w:i/>
          <w:sz w:val="22"/>
          <w:szCs w:val="22"/>
        </w:rPr>
        <w:t>ape</w:t>
      </w:r>
      <w:r>
        <w:rPr>
          <w:sz w:val="22"/>
          <w:szCs w:val="22"/>
        </w:rPr>
        <w:t xml:space="preserve">), que </w:t>
      </w:r>
      <w:r w:rsidR="003B04B0">
        <w:rPr>
          <w:sz w:val="22"/>
          <w:szCs w:val="22"/>
        </w:rPr>
        <w:t>apresenta</w:t>
      </w:r>
      <w:r w:rsidRPr="005404A0">
        <w:rPr>
          <w:sz w:val="22"/>
          <w:szCs w:val="22"/>
        </w:rPr>
        <w:t xml:space="preserve"> condutividade suficiente para </w:t>
      </w:r>
      <w:r>
        <w:rPr>
          <w:sz w:val="22"/>
          <w:szCs w:val="22"/>
        </w:rPr>
        <w:t xml:space="preserve">permitir a análise do </w:t>
      </w:r>
      <w:r w:rsidR="00754CBE">
        <w:rPr>
          <w:sz w:val="22"/>
          <w:szCs w:val="22"/>
        </w:rPr>
        <w:t>material</w:t>
      </w:r>
      <w:r>
        <w:rPr>
          <w:sz w:val="22"/>
          <w:szCs w:val="22"/>
        </w:rPr>
        <w:t xml:space="preserve"> </w:t>
      </w:r>
      <w:r w:rsidRPr="005404A0">
        <w:rPr>
          <w:sz w:val="22"/>
          <w:szCs w:val="22"/>
        </w:rPr>
        <w:t>sem metalização.</w:t>
      </w:r>
      <w:r>
        <w:rPr>
          <w:sz w:val="22"/>
          <w:szCs w:val="22"/>
        </w:rPr>
        <w:t xml:space="preserve"> </w:t>
      </w:r>
    </w:p>
    <w:p w:rsidR="005404A0" w:rsidRDefault="00C00257" w:rsidP="00C00257">
      <w:pPr>
        <w:spacing w:line="240" w:lineRule="auto"/>
        <w:rPr>
          <w:sz w:val="22"/>
          <w:szCs w:val="22"/>
        </w:rPr>
      </w:pPr>
      <w:r>
        <w:rPr>
          <w:sz w:val="22"/>
          <w:szCs w:val="22"/>
        </w:rPr>
        <w:tab/>
      </w:r>
      <w:r w:rsidR="0037704B">
        <w:rPr>
          <w:sz w:val="22"/>
          <w:szCs w:val="22"/>
        </w:rPr>
        <w:t>F</w:t>
      </w:r>
      <w:r w:rsidR="003B04B0">
        <w:rPr>
          <w:sz w:val="22"/>
          <w:szCs w:val="22"/>
        </w:rPr>
        <w:t xml:space="preserve">oram analisadas </w:t>
      </w:r>
      <w:r w:rsidR="0037704B">
        <w:rPr>
          <w:sz w:val="22"/>
          <w:szCs w:val="22"/>
        </w:rPr>
        <w:t xml:space="preserve">por MEV-EDS um total de </w:t>
      </w:r>
      <w:r w:rsidR="003B04B0">
        <w:rPr>
          <w:sz w:val="22"/>
          <w:szCs w:val="22"/>
        </w:rPr>
        <w:t>851 partículas</w:t>
      </w:r>
      <w:r w:rsidR="003B04B0" w:rsidRPr="003B04B0">
        <w:rPr>
          <w:sz w:val="22"/>
          <w:szCs w:val="22"/>
        </w:rPr>
        <w:t xml:space="preserve"> </w:t>
      </w:r>
      <w:r w:rsidR="003B04B0">
        <w:rPr>
          <w:sz w:val="22"/>
          <w:szCs w:val="22"/>
        </w:rPr>
        <w:t xml:space="preserve">provenientes dos oito disparos. </w:t>
      </w:r>
      <w:r w:rsidR="005404A0">
        <w:rPr>
          <w:sz w:val="22"/>
          <w:szCs w:val="22"/>
        </w:rPr>
        <w:t xml:space="preserve">A Figura 1 mostra </w:t>
      </w:r>
      <w:r w:rsidR="00DF5A16">
        <w:rPr>
          <w:sz w:val="22"/>
          <w:szCs w:val="22"/>
        </w:rPr>
        <w:t xml:space="preserve">histogramas </w:t>
      </w:r>
      <w:r w:rsidR="003B04B0">
        <w:rPr>
          <w:sz w:val="22"/>
          <w:szCs w:val="22"/>
        </w:rPr>
        <w:t>do percentual d</w:t>
      </w:r>
      <w:r w:rsidR="0037704B">
        <w:rPr>
          <w:sz w:val="22"/>
          <w:szCs w:val="22"/>
        </w:rPr>
        <w:t>as</w:t>
      </w:r>
      <w:r w:rsidR="003B04B0">
        <w:rPr>
          <w:sz w:val="22"/>
          <w:szCs w:val="22"/>
        </w:rPr>
        <w:t xml:space="preserve"> partículas </w:t>
      </w:r>
      <w:r w:rsidR="0037704B">
        <w:rPr>
          <w:sz w:val="22"/>
          <w:szCs w:val="22"/>
        </w:rPr>
        <w:t xml:space="preserve">de cada disparo </w:t>
      </w:r>
      <w:r w:rsidR="003B04B0">
        <w:rPr>
          <w:sz w:val="22"/>
          <w:szCs w:val="22"/>
        </w:rPr>
        <w:t>que contiveram os elementos leves Si, Al, K, Ca, Mg e o elemento pesado Pb.</w:t>
      </w:r>
      <w:r w:rsidR="005404A0">
        <w:rPr>
          <w:sz w:val="22"/>
          <w:szCs w:val="22"/>
        </w:rPr>
        <w:t xml:space="preserve"> </w:t>
      </w:r>
      <w:r w:rsidR="005404A0" w:rsidRPr="007D2E5C">
        <w:rPr>
          <w:sz w:val="22"/>
          <w:szCs w:val="22"/>
        </w:rPr>
        <w:t xml:space="preserve">Apesar de a munição </w:t>
      </w:r>
      <w:r w:rsidR="005404A0">
        <w:rPr>
          <w:sz w:val="22"/>
          <w:szCs w:val="22"/>
        </w:rPr>
        <w:t>CBC-NTA</w:t>
      </w:r>
      <w:r w:rsidR="005404A0" w:rsidRPr="007D2E5C">
        <w:rPr>
          <w:sz w:val="22"/>
          <w:szCs w:val="22"/>
        </w:rPr>
        <w:t xml:space="preserve"> ter o projétil encamisado e de não ter Pb na mistura iniciadora, </w:t>
      </w:r>
      <w:r w:rsidR="005404A0">
        <w:rPr>
          <w:sz w:val="22"/>
          <w:szCs w:val="22"/>
        </w:rPr>
        <w:t xml:space="preserve">foram encontradas </w:t>
      </w:r>
      <w:r w:rsidR="00754CBE">
        <w:rPr>
          <w:sz w:val="22"/>
          <w:szCs w:val="22"/>
        </w:rPr>
        <w:t>dezenas</w:t>
      </w:r>
      <w:r w:rsidR="005404A0">
        <w:rPr>
          <w:sz w:val="22"/>
          <w:szCs w:val="22"/>
        </w:rPr>
        <w:t xml:space="preserve"> de partículas </w:t>
      </w:r>
      <w:r w:rsidR="00754CBE">
        <w:rPr>
          <w:sz w:val="22"/>
          <w:szCs w:val="22"/>
        </w:rPr>
        <w:t>com pico</w:t>
      </w:r>
      <w:r w:rsidR="005404A0">
        <w:rPr>
          <w:sz w:val="22"/>
          <w:szCs w:val="22"/>
        </w:rPr>
        <w:t xml:space="preserve"> de Pb</w:t>
      </w:r>
      <w:r w:rsidR="00754CBE">
        <w:rPr>
          <w:sz w:val="22"/>
          <w:szCs w:val="22"/>
        </w:rPr>
        <w:t>-M</w:t>
      </w:r>
      <w:r w:rsidR="00754CBE" w:rsidRPr="00DF5A16">
        <w:rPr>
          <w:rFonts w:ascii="Symbol" w:hAnsi="Symbol"/>
          <w:sz w:val="22"/>
          <w:szCs w:val="22"/>
        </w:rPr>
        <w:t></w:t>
      </w:r>
      <w:r w:rsidR="005404A0">
        <w:rPr>
          <w:sz w:val="22"/>
          <w:szCs w:val="22"/>
        </w:rPr>
        <w:t xml:space="preserve"> no espectro EDS. </w:t>
      </w:r>
      <w:r w:rsidR="005404A0" w:rsidRPr="007D2E5C">
        <w:rPr>
          <w:sz w:val="22"/>
          <w:szCs w:val="22"/>
        </w:rPr>
        <w:t>A presença de Pb n</w:t>
      </w:r>
      <w:r w:rsidR="00DF5A16">
        <w:rPr>
          <w:sz w:val="22"/>
          <w:szCs w:val="22"/>
        </w:rPr>
        <w:t>estes</w:t>
      </w:r>
      <w:r w:rsidR="005404A0" w:rsidRPr="007D2E5C">
        <w:rPr>
          <w:sz w:val="22"/>
          <w:szCs w:val="22"/>
        </w:rPr>
        <w:t xml:space="preserve"> resíduos evidenci</w:t>
      </w:r>
      <w:r w:rsidR="0037704B">
        <w:rPr>
          <w:sz w:val="22"/>
          <w:szCs w:val="22"/>
        </w:rPr>
        <w:t>ou</w:t>
      </w:r>
      <w:r w:rsidR="005404A0" w:rsidRPr="007D2E5C">
        <w:rPr>
          <w:sz w:val="22"/>
          <w:szCs w:val="22"/>
        </w:rPr>
        <w:t xml:space="preserve"> que o </w:t>
      </w:r>
      <w:r w:rsidR="00DF5A16">
        <w:rPr>
          <w:sz w:val="22"/>
          <w:szCs w:val="22"/>
        </w:rPr>
        <w:t>chumbo</w:t>
      </w:r>
      <w:r w:rsidR="005404A0" w:rsidRPr="007D2E5C">
        <w:rPr>
          <w:sz w:val="22"/>
          <w:szCs w:val="22"/>
        </w:rPr>
        <w:t xml:space="preserve"> não </w:t>
      </w:r>
      <w:r w:rsidR="0037704B">
        <w:rPr>
          <w:sz w:val="22"/>
          <w:szCs w:val="22"/>
        </w:rPr>
        <w:t>foi</w:t>
      </w:r>
      <w:r w:rsidR="005404A0" w:rsidRPr="007D2E5C">
        <w:rPr>
          <w:sz w:val="22"/>
          <w:szCs w:val="22"/>
        </w:rPr>
        <w:t xml:space="preserve"> apenas proveniente da mistura iniciadora</w:t>
      </w:r>
      <w:r w:rsidR="00DF5A16">
        <w:rPr>
          <w:sz w:val="22"/>
          <w:szCs w:val="22"/>
        </w:rPr>
        <w:t xml:space="preserve"> (estifnato de chumbo na munição convencional)</w:t>
      </w:r>
      <w:r w:rsidR="005404A0" w:rsidRPr="007D2E5C">
        <w:rPr>
          <w:sz w:val="22"/>
          <w:szCs w:val="22"/>
        </w:rPr>
        <w:t>, mas também de incrustações</w:t>
      </w:r>
      <w:r w:rsidR="00754CBE">
        <w:rPr>
          <w:sz w:val="22"/>
          <w:szCs w:val="22"/>
        </w:rPr>
        <w:t xml:space="preserve"> no raiamento do cano</w:t>
      </w:r>
      <w:r w:rsidR="000F29D7">
        <w:rPr>
          <w:sz w:val="22"/>
          <w:szCs w:val="22"/>
        </w:rPr>
        <w:t xml:space="preserve"> ("enchumbamento")</w:t>
      </w:r>
      <w:r w:rsidR="00DF5A16">
        <w:rPr>
          <w:sz w:val="22"/>
          <w:szCs w:val="22"/>
        </w:rPr>
        <w:t>,</w:t>
      </w:r>
      <w:r w:rsidR="005404A0" w:rsidRPr="007D2E5C">
        <w:rPr>
          <w:sz w:val="22"/>
          <w:szCs w:val="22"/>
        </w:rPr>
        <w:t xml:space="preserve"> vaporizadas pela explosão do </w:t>
      </w:r>
      <w:r w:rsidR="005404A0" w:rsidRPr="007D2E5C">
        <w:rPr>
          <w:i/>
          <w:sz w:val="22"/>
          <w:szCs w:val="22"/>
        </w:rPr>
        <w:t>primer</w:t>
      </w:r>
      <w:r w:rsidR="005404A0" w:rsidRPr="007D2E5C">
        <w:rPr>
          <w:sz w:val="22"/>
          <w:szCs w:val="22"/>
        </w:rPr>
        <w:t xml:space="preserve"> e do propelente</w:t>
      </w:r>
      <w:r w:rsidR="00DF5A16">
        <w:rPr>
          <w:sz w:val="22"/>
          <w:szCs w:val="22"/>
        </w:rPr>
        <w:t xml:space="preserve"> [3]</w:t>
      </w:r>
      <w:r w:rsidR="005404A0" w:rsidRPr="007D2E5C">
        <w:rPr>
          <w:sz w:val="22"/>
          <w:szCs w:val="22"/>
        </w:rPr>
        <w:t>.</w:t>
      </w:r>
      <w:r w:rsidR="005404A0">
        <w:rPr>
          <w:sz w:val="22"/>
          <w:szCs w:val="22"/>
        </w:rPr>
        <w:t xml:space="preserve"> Pode-se perceber que o percentual de </w:t>
      </w:r>
      <w:r w:rsidR="00DF5A16">
        <w:rPr>
          <w:sz w:val="22"/>
          <w:szCs w:val="22"/>
        </w:rPr>
        <w:t>Pb</w:t>
      </w:r>
      <w:r w:rsidR="005404A0">
        <w:rPr>
          <w:sz w:val="22"/>
          <w:szCs w:val="22"/>
        </w:rPr>
        <w:t xml:space="preserve"> é aproximadamente constante </w:t>
      </w:r>
      <w:r w:rsidR="00DF5A16">
        <w:rPr>
          <w:sz w:val="22"/>
          <w:szCs w:val="22"/>
        </w:rPr>
        <w:t>nos oito</w:t>
      </w:r>
      <w:r w:rsidR="005404A0">
        <w:rPr>
          <w:sz w:val="22"/>
          <w:szCs w:val="22"/>
        </w:rPr>
        <w:t xml:space="preserve"> tiros disparados</w:t>
      </w:r>
      <w:r w:rsidR="00DF5A16">
        <w:rPr>
          <w:sz w:val="22"/>
          <w:szCs w:val="22"/>
        </w:rPr>
        <w:t xml:space="preserve"> consecutivamente</w:t>
      </w:r>
      <w:r w:rsidR="005404A0">
        <w:rPr>
          <w:sz w:val="22"/>
          <w:szCs w:val="22"/>
        </w:rPr>
        <w:t>.</w:t>
      </w:r>
    </w:p>
    <w:p w:rsidR="005404A0" w:rsidRDefault="005A690E" w:rsidP="005F4BF1">
      <w:pPr>
        <w:spacing w:line="240" w:lineRule="auto"/>
        <w:jc w:val="center"/>
        <w:rPr>
          <w:sz w:val="22"/>
          <w:szCs w:val="22"/>
        </w:rPr>
      </w:pPr>
      <w:r w:rsidRPr="005A690E">
        <w:rPr>
          <w:sz w:val="22"/>
          <w:szCs w:val="22"/>
        </w:rPr>
        <w:t xml:space="preserve"> </w:t>
      </w:r>
      <w:r>
        <w:rPr>
          <w:noProof/>
          <w:sz w:val="22"/>
          <w:szCs w:val="22"/>
        </w:rPr>
        <w:drawing>
          <wp:inline distT="0" distB="0" distL="0" distR="0">
            <wp:extent cx="5052060" cy="1813560"/>
            <wp:effectExtent l="19050" t="0" r="0" b="0"/>
            <wp:docPr id="17"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t="4354"/>
                    <a:stretch>
                      <a:fillRect/>
                    </a:stretch>
                  </pic:blipFill>
                  <pic:spPr bwMode="auto">
                    <a:xfrm>
                      <a:off x="0" y="0"/>
                      <a:ext cx="5052060" cy="1813560"/>
                    </a:xfrm>
                    <a:prstGeom prst="rect">
                      <a:avLst/>
                    </a:prstGeom>
                    <a:noFill/>
                    <a:ln w="9525">
                      <a:noFill/>
                      <a:miter lim="800000"/>
                      <a:headEnd/>
                      <a:tailEnd/>
                    </a:ln>
                  </pic:spPr>
                </pic:pic>
              </a:graphicData>
            </a:graphic>
          </wp:inline>
        </w:drawing>
      </w:r>
    </w:p>
    <w:p w:rsidR="005404A0" w:rsidRDefault="005404A0" w:rsidP="005404A0">
      <w:pPr>
        <w:spacing w:line="240" w:lineRule="auto"/>
        <w:rPr>
          <w:sz w:val="22"/>
          <w:szCs w:val="22"/>
        </w:rPr>
      </w:pPr>
    </w:p>
    <w:p w:rsidR="005404A0" w:rsidRDefault="005404A0" w:rsidP="005F4BF1">
      <w:pPr>
        <w:spacing w:line="240" w:lineRule="auto"/>
        <w:jc w:val="center"/>
        <w:rPr>
          <w:sz w:val="22"/>
          <w:szCs w:val="22"/>
        </w:rPr>
      </w:pPr>
      <w:r w:rsidRPr="00FC71F5">
        <w:rPr>
          <w:b/>
          <w:sz w:val="22"/>
          <w:szCs w:val="22"/>
        </w:rPr>
        <w:t>Figura 1.</w:t>
      </w:r>
      <w:r>
        <w:rPr>
          <w:b/>
          <w:sz w:val="22"/>
          <w:szCs w:val="22"/>
        </w:rPr>
        <w:t xml:space="preserve"> </w:t>
      </w:r>
      <w:r w:rsidRPr="005404A0">
        <w:rPr>
          <w:sz w:val="22"/>
          <w:szCs w:val="22"/>
        </w:rPr>
        <w:t>Percentual de</w:t>
      </w:r>
      <w:r w:rsidR="00590D73">
        <w:rPr>
          <w:sz w:val="22"/>
          <w:szCs w:val="22"/>
        </w:rPr>
        <w:t xml:space="preserve"> (#) </w:t>
      </w:r>
      <w:r w:rsidRPr="005404A0">
        <w:rPr>
          <w:sz w:val="22"/>
          <w:szCs w:val="22"/>
        </w:rPr>
        <w:t xml:space="preserve">partículas </w:t>
      </w:r>
      <w:r w:rsidR="005A690E">
        <w:rPr>
          <w:sz w:val="22"/>
          <w:szCs w:val="22"/>
        </w:rPr>
        <w:t>com</w:t>
      </w:r>
      <w:r w:rsidR="005A690E" w:rsidRPr="005404A0">
        <w:rPr>
          <w:sz w:val="22"/>
          <w:szCs w:val="22"/>
        </w:rPr>
        <w:t xml:space="preserve"> </w:t>
      </w:r>
      <w:r w:rsidR="005A690E">
        <w:rPr>
          <w:sz w:val="22"/>
          <w:szCs w:val="22"/>
        </w:rPr>
        <w:t xml:space="preserve">Si, Al, K, Ca, Mg, Pb </w:t>
      </w:r>
      <w:r>
        <w:rPr>
          <w:sz w:val="22"/>
          <w:szCs w:val="22"/>
        </w:rPr>
        <w:t xml:space="preserve">de GSR </w:t>
      </w:r>
      <w:r w:rsidR="0037704B">
        <w:rPr>
          <w:sz w:val="22"/>
          <w:szCs w:val="22"/>
        </w:rPr>
        <w:t>nos</w:t>
      </w:r>
      <w:r>
        <w:rPr>
          <w:sz w:val="22"/>
          <w:szCs w:val="22"/>
        </w:rPr>
        <w:t xml:space="preserve"> </w:t>
      </w:r>
      <w:r w:rsidR="00590D73">
        <w:rPr>
          <w:sz w:val="22"/>
          <w:szCs w:val="22"/>
        </w:rPr>
        <w:t xml:space="preserve">8 </w:t>
      </w:r>
      <w:r w:rsidR="0037704B">
        <w:rPr>
          <w:sz w:val="22"/>
          <w:szCs w:val="22"/>
        </w:rPr>
        <w:t>disparos</w:t>
      </w:r>
      <w:r w:rsidR="00590D73">
        <w:rPr>
          <w:sz w:val="22"/>
          <w:szCs w:val="22"/>
        </w:rPr>
        <w:t xml:space="preserve"> </w:t>
      </w:r>
      <w:r w:rsidR="005A690E">
        <w:rPr>
          <w:sz w:val="22"/>
          <w:szCs w:val="22"/>
        </w:rPr>
        <w:t>com</w:t>
      </w:r>
      <w:r w:rsidR="00590D73">
        <w:rPr>
          <w:sz w:val="22"/>
          <w:szCs w:val="22"/>
        </w:rPr>
        <w:t xml:space="preserve"> </w:t>
      </w:r>
      <w:r>
        <w:rPr>
          <w:sz w:val="22"/>
          <w:szCs w:val="22"/>
        </w:rPr>
        <w:t xml:space="preserve">munição CBC-NTA </w:t>
      </w:r>
    </w:p>
    <w:p w:rsidR="005404A0" w:rsidRDefault="005404A0" w:rsidP="005404A0">
      <w:pPr>
        <w:spacing w:line="240" w:lineRule="auto"/>
        <w:rPr>
          <w:sz w:val="22"/>
          <w:szCs w:val="22"/>
        </w:rPr>
      </w:pPr>
    </w:p>
    <w:p w:rsidR="00754CBE" w:rsidRPr="007D2E5C" w:rsidRDefault="00754CBE" w:rsidP="00754CBE">
      <w:pPr>
        <w:spacing w:line="240" w:lineRule="auto"/>
        <w:rPr>
          <w:sz w:val="22"/>
          <w:szCs w:val="22"/>
        </w:rPr>
      </w:pPr>
      <w:r>
        <w:rPr>
          <w:sz w:val="22"/>
          <w:szCs w:val="22"/>
        </w:rPr>
        <w:tab/>
        <w:t xml:space="preserve">Quando as partículas </w:t>
      </w:r>
      <w:r w:rsidR="0037704B">
        <w:rPr>
          <w:sz w:val="22"/>
          <w:szCs w:val="22"/>
        </w:rPr>
        <w:t>foram</w:t>
      </w:r>
      <w:r>
        <w:rPr>
          <w:sz w:val="22"/>
          <w:szCs w:val="22"/>
        </w:rPr>
        <w:t xml:space="preserve"> agrupadas </w:t>
      </w:r>
      <w:r w:rsidRPr="007D2E5C">
        <w:rPr>
          <w:sz w:val="22"/>
          <w:szCs w:val="22"/>
        </w:rPr>
        <w:t xml:space="preserve">conforme as combinações </w:t>
      </w:r>
      <w:r>
        <w:rPr>
          <w:sz w:val="22"/>
          <w:szCs w:val="22"/>
        </w:rPr>
        <w:t>de elementos presentes, as categorias mais abundantes encontradas foram óxidos de AlSiK (33%), AlSi (14%), AlSiCa (8%), Si (7%) Ca (5%) MgCa (4%), MgSi (3%), MgAlSiCa (2%), MgAlSi (2%). Entre as partículas metálicas, as mais abundantes foram de Pb (15%), Fe (2%) e Al (2%). Foram encontrados</w:t>
      </w:r>
      <w:r w:rsidR="00DF5A16">
        <w:rPr>
          <w:sz w:val="22"/>
          <w:szCs w:val="22"/>
        </w:rPr>
        <w:t xml:space="preserve"> cloretos como</w:t>
      </w:r>
      <w:r>
        <w:rPr>
          <w:sz w:val="22"/>
          <w:szCs w:val="22"/>
        </w:rPr>
        <w:t xml:space="preserve"> NaCl (1%) e KCl (1%)</w:t>
      </w:r>
      <w:r w:rsidR="00DF5A16">
        <w:rPr>
          <w:sz w:val="22"/>
          <w:szCs w:val="22"/>
        </w:rPr>
        <w:t>,</w:t>
      </w:r>
      <w:r>
        <w:rPr>
          <w:sz w:val="22"/>
          <w:szCs w:val="22"/>
        </w:rPr>
        <w:t xml:space="preserve"> além de inúmeras </w:t>
      </w:r>
      <w:r w:rsidR="0037704B">
        <w:rPr>
          <w:sz w:val="22"/>
          <w:szCs w:val="22"/>
        </w:rPr>
        <w:t>categorias</w:t>
      </w:r>
      <w:r>
        <w:rPr>
          <w:sz w:val="22"/>
          <w:szCs w:val="22"/>
        </w:rPr>
        <w:t xml:space="preserve"> adicionais que</w:t>
      </w:r>
      <w:r w:rsidR="00D20947">
        <w:rPr>
          <w:sz w:val="22"/>
          <w:szCs w:val="22"/>
        </w:rPr>
        <w:t>, porém,</w:t>
      </w:r>
      <w:r>
        <w:rPr>
          <w:sz w:val="22"/>
          <w:szCs w:val="22"/>
        </w:rPr>
        <w:t xml:space="preserve"> </w:t>
      </w:r>
      <w:r w:rsidR="0037704B">
        <w:rPr>
          <w:sz w:val="22"/>
          <w:szCs w:val="22"/>
        </w:rPr>
        <w:t>contiham</w:t>
      </w:r>
      <w:r>
        <w:rPr>
          <w:sz w:val="22"/>
          <w:szCs w:val="22"/>
        </w:rPr>
        <w:t xml:space="preserve"> menos de 1% do total de partículas. </w:t>
      </w:r>
      <w:r w:rsidR="005A690E">
        <w:rPr>
          <w:sz w:val="22"/>
          <w:szCs w:val="22"/>
        </w:rPr>
        <w:t>Concluiu-se que a</w:t>
      </w:r>
      <w:r w:rsidRPr="007D2E5C">
        <w:rPr>
          <w:sz w:val="22"/>
          <w:szCs w:val="22"/>
        </w:rPr>
        <w:t xml:space="preserve">s </w:t>
      </w:r>
      <w:r w:rsidR="00590D73">
        <w:rPr>
          <w:sz w:val="22"/>
          <w:szCs w:val="22"/>
        </w:rPr>
        <w:t>categorias de composição</w:t>
      </w:r>
      <w:r w:rsidRPr="007D2E5C">
        <w:rPr>
          <w:sz w:val="22"/>
          <w:szCs w:val="22"/>
        </w:rPr>
        <w:t xml:space="preserve"> </w:t>
      </w:r>
      <w:r w:rsidR="005A690E">
        <w:rPr>
          <w:sz w:val="22"/>
          <w:szCs w:val="22"/>
        </w:rPr>
        <w:t>de</w:t>
      </w:r>
      <w:r w:rsidR="00590D73">
        <w:rPr>
          <w:sz w:val="22"/>
          <w:szCs w:val="22"/>
        </w:rPr>
        <w:t xml:space="preserve"> GSR de </w:t>
      </w:r>
      <w:r w:rsidRPr="007D2E5C">
        <w:rPr>
          <w:sz w:val="22"/>
          <w:szCs w:val="22"/>
        </w:rPr>
        <w:t xml:space="preserve">munição </w:t>
      </w:r>
      <w:r>
        <w:rPr>
          <w:sz w:val="22"/>
          <w:szCs w:val="22"/>
        </w:rPr>
        <w:t>CBC-NTA</w:t>
      </w:r>
      <w:r w:rsidRPr="007D2E5C">
        <w:rPr>
          <w:sz w:val="22"/>
          <w:szCs w:val="22"/>
        </w:rPr>
        <w:t xml:space="preserve"> são variadas demais, </w:t>
      </w:r>
      <w:r w:rsidR="00D20947">
        <w:rPr>
          <w:sz w:val="22"/>
          <w:szCs w:val="22"/>
        </w:rPr>
        <w:t>impedindo um protocolo análogo ao que é utilizado na identificação de GSR de</w:t>
      </w:r>
      <w:r w:rsidRPr="007D2E5C">
        <w:rPr>
          <w:sz w:val="22"/>
          <w:szCs w:val="22"/>
        </w:rPr>
        <w:t xml:space="preserve"> munição </w:t>
      </w:r>
      <w:r w:rsidR="00590D73">
        <w:rPr>
          <w:sz w:val="22"/>
          <w:szCs w:val="22"/>
        </w:rPr>
        <w:t>convencional</w:t>
      </w:r>
      <w:r w:rsidR="00590D73" w:rsidRPr="007D2E5C">
        <w:rPr>
          <w:sz w:val="22"/>
          <w:szCs w:val="22"/>
        </w:rPr>
        <w:t xml:space="preserve"> </w:t>
      </w:r>
      <w:r w:rsidRPr="007D2E5C">
        <w:rPr>
          <w:sz w:val="22"/>
          <w:szCs w:val="22"/>
        </w:rPr>
        <w:t>Sinoxid</w:t>
      </w:r>
      <w:r w:rsidR="00D20947">
        <w:rPr>
          <w:sz w:val="22"/>
          <w:szCs w:val="22"/>
        </w:rPr>
        <w:t>,</w:t>
      </w:r>
      <w:r w:rsidR="005A690E">
        <w:rPr>
          <w:sz w:val="22"/>
          <w:szCs w:val="22"/>
        </w:rPr>
        <w:t xml:space="preserve"> com </w:t>
      </w:r>
      <w:r w:rsidR="00D20947">
        <w:rPr>
          <w:sz w:val="22"/>
          <w:szCs w:val="22"/>
        </w:rPr>
        <w:t>su</w:t>
      </w:r>
      <w:r w:rsidR="005A690E">
        <w:rPr>
          <w:sz w:val="22"/>
          <w:szCs w:val="22"/>
        </w:rPr>
        <w:t xml:space="preserve">as categorias características </w:t>
      </w:r>
      <w:r w:rsidR="00D20947">
        <w:rPr>
          <w:sz w:val="22"/>
          <w:szCs w:val="22"/>
        </w:rPr>
        <w:t>contendo</w:t>
      </w:r>
      <w:r w:rsidR="005A690E">
        <w:rPr>
          <w:sz w:val="22"/>
          <w:szCs w:val="22"/>
        </w:rPr>
        <w:t xml:space="preserve"> Sb, Ba e Pb</w:t>
      </w:r>
      <w:r>
        <w:rPr>
          <w:sz w:val="22"/>
          <w:szCs w:val="22"/>
        </w:rPr>
        <w:t>.</w:t>
      </w:r>
    </w:p>
    <w:p w:rsidR="005404A0" w:rsidRDefault="00754CBE" w:rsidP="005404A0">
      <w:pPr>
        <w:spacing w:line="240" w:lineRule="auto"/>
        <w:rPr>
          <w:sz w:val="22"/>
          <w:szCs w:val="22"/>
        </w:rPr>
      </w:pPr>
      <w:r>
        <w:rPr>
          <w:sz w:val="22"/>
          <w:szCs w:val="22"/>
        </w:rPr>
        <w:lastRenderedPageBreak/>
        <w:tab/>
      </w:r>
      <w:r w:rsidR="005A690E">
        <w:rPr>
          <w:sz w:val="22"/>
          <w:szCs w:val="22"/>
        </w:rPr>
        <w:t>É necessário ter em mente que a</w:t>
      </w:r>
      <w:r w:rsidR="005F4BF1">
        <w:rPr>
          <w:sz w:val="22"/>
          <w:szCs w:val="22"/>
        </w:rPr>
        <w:t xml:space="preserve"> análise EDS </w:t>
      </w:r>
      <w:r w:rsidR="0038121C">
        <w:rPr>
          <w:sz w:val="22"/>
          <w:szCs w:val="22"/>
        </w:rPr>
        <w:t>de partículas muito pequenas (</w:t>
      </w:r>
      <w:r w:rsidR="0025160A">
        <w:rPr>
          <w:sz w:val="22"/>
          <w:szCs w:val="22"/>
        </w:rPr>
        <w:t xml:space="preserve">menores que </w:t>
      </w:r>
      <w:r w:rsidR="0038121C">
        <w:rPr>
          <w:sz w:val="22"/>
          <w:szCs w:val="22"/>
        </w:rPr>
        <w:t xml:space="preserve">1 </w:t>
      </w:r>
      <w:r w:rsidR="0038121C" w:rsidRPr="00754CBE">
        <w:rPr>
          <w:rFonts w:ascii="Symbol" w:hAnsi="Symbol"/>
          <w:sz w:val="22"/>
          <w:szCs w:val="22"/>
        </w:rPr>
        <w:t></w:t>
      </w:r>
      <w:r w:rsidR="0038121C">
        <w:rPr>
          <w:sz w:val="22"/>
          <w:szCs w:val="22"/>
        </w:rPr>
        <w:t xml:space="preserve">m) </w:t>
      </w:r>
      <w:r w:rsidR="005F4BF1">
        <w:rPr>
          <w:sz w:val="22"/>
          <w:szCs w:val="22"/>
        </w:rPr>
        <w:t>mostra</w:t>
      </w:r>
      <w:r w:rsidR="0025160A">
        <w:rPr>
          <w:sz w:val="22"/>
          <w:szCs w:val="22"/>
        </w:rPr>
        <w:t xml:space="preserve"> apenas</w:t>
      </w:r>
      <w:r w:rsidR="005F4BF1">
        <w:rPr>
          <w:sz w:val="22"/>
          <w:szCs w:val="22"/>
        </w:rPr>
        <w:t xml:space="preserve"> </w:t>
      </w:r>
      <w:r>
        <w:rPr>
          <w:sz w:val="22"/>
          <w:szCs w:val="22"/>
        </w:rPr>
        <w:t xml:space="preserve">teores médios </w:t>
      </w:r>
      <w:r w:rsidR="0038121C">
        <w:rPr>
          <w:sz w:val="22"/>
          <w:szCs w:val="22"/>
        </w:rPr>
        <w:t>da composição</w:t>
      </w:r>
      <w:r w:rsidR="00590D73">
        <w:rPr>
          <w:sz w:val="22"/>
          <w:szCs w:val="22"/>
        </w:rPr>
        <w:t>. Por isto nos espectros</w:t>
      </w:r>
      <w:r w:rsidR="0038121C">
        <w:rPr>
          <w:sz w:val="22"/>
          <w:szCs w:val="22"/>
        </w:rPr>
        <w:t xml:space="preserve"> EDS</w:t>
      </w:r>
      <w:r w:rsidR="00590D73">
        <w:rPr>
          <w:sz w:val="22"/>
          <w:szCs w:val="22"/>
        </w:rPr>
        <w:t xml:space="preserve"> não é perceptível que as partículas</w:t>
      </w:r>
      <w:r w:rsidR="00D20947">
        <w:rPr>
          <w:sz w:val="22"/>
          <w:szCs w:val="22"/>
        </w:rPr>
        <w:t xml:space="preserve"> de GSR Sintox</w:t>
      </w:r>
      <w:r w:rsidR="00590D73">
        <w:rPr>
          <w:sz w:val="22"/>
          <w:szCs w:val="22"/>
        </w:rPr>
        <w:t xml:space="preserve"> consistem de um grão com</w:t>
      </w:r>
      <w:r w:rsidR="00590D73" w:rsidRPr="007D2E5C">
        <w:rPr>
          <w:sz w:val="22"/>
          <w:szCs w:val="22"/>
        </w:rPr>
        <w:t xml:space="preserve"> número atômico baixo (Al, Si, K, O)</w:t>
      </w:r>
      <w:r>
        <w:rPr>
          <w:sz w:val="22"/>
          <w:szCs w:val="22"/>
        </w:rPr>
        <w:t xml:space="preserve">, </w:t>
      </w:r>
      <w:r w:rsidR="00590D73">
        <w:rPr>
          <w:sz w:val="22"/>
          <w:szCs w:val="22"/>
        </w:rPr>
        <w:t>incrustado com</w:t>
      </w:r>
      <w:r w:rsidR="005404A0" w:rsidRPr="007D2E5C">
        <w:rPr>
          <w:sz w:val="22"/>
          <w:szCs w:val="22"/>
        </w:rPr>
        <w:t xml:space="preserve"> </w:t>
      </w:r>
      <w:r w:rsidR="00590D73">
        <w:rPr>
          <w:sz w:val="22"/>
          <w:szCs w:val="22"/>
        </w:rPr>
        <w:t xml:space="preserve">esferulitos </w:t>
      </w:r>
      <w:r w:rsidR="00590D73" w:rsidRPr="007D2E5C">
        <w:rPr>
          <w:sz w:val="22"/>
          <w:szCs w:val="22"/>
        </w:rPr>
        <w:t>de Pb</w:t>
      </w:r>
      <w:r w:rsidR="00590D73">
        <w:rPr>
          <w:sz w:val="22"/>
          <w:szCs w:val="22"/>
        </w:rPr>
        <w:t xml:space="preserve"> de </w:t>
      </w:r>
      <w:r>
        <w:rPr>
          <w:sz w:val="22"/>
          <w:szCs w:val="22"/>
        </w:rPr>
        <w:t xml:space="preserve">décimos ou centésimos de </w:t>
      </w:r>
      <w:r w:rsidRPr="00754CBE">
        <w:rPr>
          <w:rFonts w:ascii="Symbol" w:hAnsi="Symbol"/>
          <w:sz w:val="22"/>
          <w:szCs w:val="22"/>
        </w:rPr>
        <w:t></w:t>
      </w:r>
      <w:r>
        <w:rPr>
          <w:sz w:val="22"/>
          <w:szCs w:val="22"/>
        </w:rPr>
        <w:t>m</w:t>
      </w:r>
      <w:r w:rsidR="005404A0" w:rsidRPr="007D2E5C">
        <w:rPr>
          <w:sz w:val="22"/>
          <w:szCs w:val="22"/>
        </w:rPr>
        <w:t xml:space="preserve">. </w:t>
      </w:r>
      <w:r>
        <w:rPr>
          <w:sz w:val="22"/>
          <w:szCs w:val="22"/>
        </w:rPr>
        <w:t>Est</w:t>
      </w:r>
      <w:r w:rsidR="00590D73">
        <w:rPr>
          <w:sz w:val="22"/>
          <w:szCs w:val="22"/>
        </w:rPr>
        <w:t xml:space="preserve">es </w:t>
      </w:r>
      <w:r w:rsidR="005F4BF1">
        <w:rPr>
          <w:sz w:val="22"/>
          <w:szCs w:val="22"/>
        </w:rPr>
        <w:t>esferulitos</w:t>
      </w:r>
      <w:r w:rsidR="00590D73">
        <w:rPr>
          <w:sz w:val="22"/>
          <w:szCs w:val="22"/>
        </w:rPr>
        <w:t xml:space="preserve"> diminutos são apenas observados em magnificações altas</w:t>
      </w:r>
      <w:r w:rsidR="005F4BF1">
        <w:rPr>
          <w:sz w:val="22"/>
          <w:szCs w:val="22"/>
        </w:rPr>
        <w:t xml:space="preserve"> no MEV</w:t>
      </w:r>
      <w:r w:rsidR="00590D73">
        <w:rPr>
          <w:sz w:val="22"/>
          <w:szCs w:val="22"/>
        </w:rPr>
        <w:t xml:space="preserve">, preferencialmente </w:t>
      </w:r>
      <w:r w:rsidR="005F4BF1">
        <w:rPr>
          <w:sz w:val="22"/>
          <w:szCs w:val="22"/>
        </w:rPr>
        <w:t>utilizando o</w:t>
      </w:r>
      <w:r>
        <w:rPr>
          <w:sz w:val="22"/>
          <w:szCs w:val="22"/>
        </w:rPr>
        <w:t xml:space="preserve"> modo de </w:t>
      </w:r>
      <w:r w:rsidR="005F4BF1">
        <w:rPr>
          <w:sz w:val="22"/>
          <w:szCs w:val="22"/>
        </w:rPr>
        <w:t xml:space="preserve">imageamento com </w:t>
      </w:r>
      <w:r>
        <w:rPr>
          <w:sz w:val="22"/>
          <w:szCs w:val="22"/>
        </w:rPr>
        <w:t>elétrons secundários</w:t>
      </w:r>
      <w:r w:rsidR="0038121C">
        <w:rPr>
          <w:sz w:val="22"/>
          <w:szCs w:val="22"/>
        </w:rPr>
        <w:t>, que tem resolução melhor</w:t>
      </w:r>
      <w:r w:rsidR="00D20947">
        <w:rPr>
          <w:sz w:val="22"/>
          <w:szCs w:val="22"/>
        </w:rPr>
        <w:t xml:space="preserve"> que o modo </w:t>
      </w:r>
      <w:r w:rsidR="00183E4A">
        <w:rPr>
          <w:sz w:val="22"/>
          <w:szCs w:val="22"/>
        </w:rPr>
        <w:t>de elétrons retro-espalhados usualmente empregado</w:t>
      </w:r>
      <w:r w:rsidR="00D20947">
        <w:rPr>
          <w:sz w:val="22"/>
          <w:szCs w:val="22"/>
        </w:rPr>
        <w:t xml:space="preserve"> para observar contrastes de número atômico</w:t>
      </w:r>
      <w:r w:rsidR="00590D73">
        <w:rPr>
          <w:sz w:val="22"/>
          <w:szCs w:val="22"/>
        </w:rPr>
        <w:t xml:space="preserve">. </w:t>
      </w:r>
      <w:r w:rsidR="005F4BF1">
        <w:rPr>
          <w:sz w:val="22"/>
          <w:szCs w:val="22"/>
        </w:rPr>
        <w:t xml:space="preserve">A Fig. 2a mostra </w:t>
      </w:r>
      <w:r w:rsidR="000F29D7">
        <w:rPr>
          <w:sz w:val="22"/>
          <w:szCs w:val="22"/>
        </w:rPr>
        <w:t xml:space="preserve">um esferulito </w:t>
      </w:r>
      <w:r w:rsidR="00183E4A">
        <w:rPr>
          <w:sz w:val="22"/>
          <w:szCs w:val="22"/>
        </w:rPr>
        <w:t>brilhante</w:t>
      </w:r>
      <w:r w:rsidR="005F4BF1">
        <w:rPr>
          <w:sz w:val="22"/>
          <w:szCs w:val="22"/>
        </w:rPr>
        <w:t xml:space="preserve"> (</w:t>
      </w:r>
      <w:r w:rsidR="00183E4A">
        <w:rPr>
          <w:sz w:val="22"/>
          <w:szCs w:val="22"/>
        </w:rPr>
        <w:t xml:space="preserve">seta branca) com diâmetro de aproximadamente </w:t>
      </w:r>
      <w:r w:rsidR="005F4BF1">
        <w:rPr>
          <w:sz w:val="22"/>
          <w:szCs w:val="22"/>
        </w:rPr>
        <w:t xml:space="preserve">1 </w:t>
      </w:r>
      <w:r w:rsidR="005F4BF1" w:rsidRPr="00754CBE">
        <w:rPr>
          <w:rFonts w:ascii="Symbol" w:hAnsi="Symbol"/>
          <w:sz w:val="22"/>
          <w:szCs w:val="22"/>
        </w:rPr>
        <w:t></w:t>
      </w:r>
      <w:r w:rsidR="005F4BF1">
        <w:rPr>
          <w:sz w:val="22"/>
          <w:szCs w:val="22"/>
        </w:rPr>
        <w:t xml:space="preserve">m, junto a uma </w:t>
      </w:r>
      <w:r w:rsidR="005F4BF1" w:rsidRPr="007D2E5C">
        <w:rPr>
          <w:sz w:val="22"/>
          <w:szCs w:val="22"/>
        </w:rPr>
        <w:t>partícula</w:t>
      </w:r>
      <w:r w:rsidR="005F4BF1">
        <w:rPr>
          <w:sz w:val="22"/>
          <w:szCs w:val="22"/>
        </w:rPr>
        <w:t xml:space="preserve"> de baixo Z</w:t>
      </w:r>
      <w:r w:rsidR="00183E4A">
        <w:rPr>
          <w:sz w:val="22"/>
          <w:szCs w:val="22"/>
        </w:rPr>
        <w:t xml:space="preserve"> (cinza médio)</w:t>
      </w:r>
      <w:r w:rsidR="005F4BF1">
        <w:rPr>
          <w:sz w:val="22"/>
          <w:szCs w:val="22"/>
        </w:rPr>
        <w:t>, com</w:t>
      </w:r>
      <w:r w:rsidR="005F4BF1" w:rsidRPr="007D2E5C">
        <w:rPr>
          <w:sz w:val="22"/>
          <w:szCs w:val="22"/>
        </w:rPr>
        <w:t xml:space="preserve"> aspecto </w:t>
      </w:r>
      <w:r w:rsidR="005F4BF1">
        <w:rPr>
          <w:sz w:val="22"/>
          <w:szCs w:val="22"/>
        </w:rPr>
        <w:t xml:space="preserve">pouco cristalino (anédrico, botroidal). </w:t>
      </w:r>
      <w:r w:rsidR="00183E4A">
        <w:rPr>
          <w:sz w:val="22"/>
          <w:szCs w:val="22"/>
        </w:rPr>
        <w:t>Nesta partícula maior a</w:t>
      </w:r>
      <w:r w:rsidR="005F4BF1">
        <w:rPr>
          <w:sz w:val="22"/>
          <w:szCs w:val="22"/>
        </w:rPr>
        <w:t xml:space="preserve"> análise</w:t>
      </w:r>
      <w:r w:rsidR="005F4BF1" w:rsidRPr="007D2E5C">
        <w:rPr>
          <w:sz w:val="22"/>
          <w:szCs w:val="22"/>
        </w:rPr>
        <w:t xml:space="preserve"> EDS mostr</w:t>
      </w:r>
      <w:r w:rsidR="005F4BF1">
        <w:rPr>
          <w:sz w:val="22"/>
          <w:szCs w:val="22"/>
        </w:rPr>
        <w:t>ou</w:t>
      </w:r>
      <w:r w:rsidR="005F4BF1" w:rsidRPr="007D2E5C">
        <w:rPr>
          <w:sz w:val="22"/>
          <w:szCs w:val="22"/>
        </w:rPr>
        <w:t xml:space="preserve"> a presença de </w:t>
      </w:r>
      <w:r w:rsidR="0037704B">
        <w:rPr>
          <w:sz w:val="22"/>
          <w:szCs w:val="22"/>
        </w:rPr>
        <w:t xml:space="preserve">O, </w:t>
      </w:r>
      <w:r w:rsidR="005F4BF1" w:rsidRPr="007D2E5C">
        <w:rPr>
          <w:sz w:val="22"/>
          <w:szCs w:val="22"/>
        </w:rPr>
        <w:t>Ca, Si, Al, K, Fe e Pb</w:t>
      </w:r>
      <w:r w:rsidR="005F4BF1">
        <w:rPr>
          <w:sz w:val="22"/>
          <w:szCs w:val="22"/>
        </w:rPr>
        <w:t xml:space="preserve"> e no esferulito</w:t>
      </w:r>
      <w:r w:rsidR="00183E4A">
        <w:rPr>
          <w:sz w:val="22"/>
          <w:szCs w:val="22"/>
        </w:rPr>
        <w:t xml:space="preserve"> menor apenas Pb</w:t>
      </w:r>
      <w:r w:rsidR="005F4BF1">
        <w:rPr>
          <w:sz w:val="22"/>
          <w:szCs w:val="22"/>
        </w:rPr>
        <w:t xml:space="preserve">. </w:t>
      </w:r>
      <w:r w:rsidR="00183E4A">
        <w:rPr>
          <w:sz w:val="22"/>
          <w:szCs w:val="22"/>
        </w:rPr>
        <w:t>A Fig. 2</w:t>
      </w:r>
      <w:r w:rsidR="0025160A">
        <w:rPr>
          <w:sz w:val="22"/>
          <w:szCs w:val="22"/>
        </w:rPr>
        <w:t>a</w:t>
      </w:r>
      <w:r w:rsidR="00183E4A">
        <w:rPr>
          <w:sz w:val="22"/>
          <w:szCs w:val="22"/>
        </w:rPr>
        <w:t xml:space="preserve"> é uma</w:t>
      </w:r>
      <w:r w:rsidR="005F4BF1">
        <w:rPr>
          <w:sz w:val="22"/>
          <w:szCs w:val="22"/>
        </w:rPr>
        <w:t xml:space="preserve"> imagem de baixa magnificação obtida com elétrons retro-espalhados</w:t>
      </w:r>
      <w:r w:rsidR="00183E4A">
        <w:rPr>
          <w:sz w:val="22"/>
          <w:szCs w:val="22"/>
        </w:rPr>
        <w:t>, e os</w:t>
      </w:r>
      <w:r w:rsidR="005F4BF1">
        <w:rPr>
          <w:sz w:val="22"/>
          <w:szCs w:val="22"/>
        </w:rPr>
        <w:t xml:space="preserve"> esferulitos </w:t>
      </w:r>
      <w:r w:rsidR="00D20947">
        <w:rPr>
          <w:sz w:val="22"/>
          <w:szCs w:val="22"/>
        </w:rPr>
        <w:t>submicrométricos</w:t>
      </w:r>
      <w:r w:rsidR="0038121C">
        <w:rPr>
          <w:sz w:val="22"/>
          <w:szCs w:val="22"/>
        </w:rPr>
        <w:t>,</w:t>
      </w:r>
      <w:r w:rsidR="005F4BF1">
        <w:rPr>
          <w:sz w:val="22"/>
          <w:szCs w:val="22"/>
        </w:rPr>
        <w:t xml:space="preserve"> aderidos ao grão de baixo Z</w:t>
      </w:r>
      <w:r w:rsidR="0038121C">
        <w:rPr>
          <w:sz w:val="22"/>
          <w:szCs w:val="22"/>
        </w:rPr>
        <w:t>,</w:t>
      </w:r>
      <w:r w:rsidR="005F4BF1">
        <w:rPr>
          <w:sz w:val="22"/>
          <w:szCs w:val="22"/>
        </w:rPr>
        <w:t xml:space="preserve"> </w:t>
      </w:r>
      <w:r w:rsidR="0038121C">
        <w:rPr>
          <w:sz w:val="22"/>
          <w:szCs w:val="22"/>
        </w:rPr>
        <w:t>sequer</w:t>
      </w:r>
      <w:r w:rsidR="005F4BF1">
        <w:rPr>
          <w:sz w:val="22"/>
          <w:szCs w:val="22"/>
        </w:rPr>
        <w:t xml:space="preserve"> ficam aparentes. </w:t>
      </w:r>
      <w:r w:rsidR="0037704B">
        <w:rPr>
          <w:sz w:val="22"/>
          <w:szCs w:val="22"/>
        </w:rPr>
        <w:t>A</w:t>
      </w:r>
      <w:r w:rsidR="005404A0">
        <w:rPr>
          <w:sz w:val="22"/>
          <w:szCs w:val="22"/>
        </w:rPr>
        <w:t xml:space="preserve"> Fig</w:t>
      </w:r>
      <w:r>
        <w:rPr>
          <w:sz w:val="22"/>
          <w:szCs w:val="22"/>
        </w:rPr>
        <w:t>.</w:t>
      </w:r>
      <w:r w:rsidR="005404A0">
        <w:rPr>
          <w:sz w:val="22"/>
          <w:szCs w:val="22"/>
        </w:rPr>
        <w:t xml:space="preserve"> </w:t>
      </w:r>
      <w:r>
        <w:rPr>
          <w:sz w:val="22"/>
          <w:szCs w:val="22"/>
        </w:rPr>
        <w:t>2</w:t>
      </w:r>
      <w:r w:rsidR="005F4BF1">
        <w:rPr>
          <w:sz w:val="22"/>
          <w:szCs w:val="22"/>
        </w:rPr>
        <w:t>b</w:t>
      </w:r>
      <w:r w:rsidR="005404A0">
        <w:rPr>
          <w:sz w:val="22"/>
          <w:szCs w:val="22"/>
        </w:rPr>
        <w:t xml:space="preserve"> </w:t>
      </w:r>
      <w:r w:rsidR="0037704B">
        <w:rPr>
          <w:sz w:val="22"/>
          <w:szCs w:val="22"/>
        </w:rPr>
        <w:t>mostra</w:t>
      </w:r>
      <w:r w:rsidR="005404A0">
        <w:rPr>
          <w:sz w:val="22"/>
          <w:szCs w:val="22"/>
        </w:rPr>
        <w:t xml:space="preserve"> </w:t>
      </w:r>
      <w:bookmarkStart w:id="0" w:name="_Toc451853822"/>
      <w:r w:rsidR="005F4BF1">
        <w:rPr>
          <w:sz w:val="22"/>
          <w:szCs w:val="22"/>
        </w:rPr>
        <w:t>uma magnificação maior de</w:t>
      </w:r>
      <w:r>
        <w:rPr>
          <w:sz w:val="22"/>
          <w:szCs w:val="22"/>
        </w:rPr>
        <w:t xml:space="preserve"> uma</w:t>
      </w:r>
      <w:r w:rsidR="005404A0" w:rsidRPr="007D2E5C">
        <w:rPr>
          <w:sz w:val="22"/>
          <w:szCs w:val="22"/>
        </w:rPr>
        <w:t xml:space="preserve"> partícula</w:t>
      </w:r>
      <w:r>
        <w:rPr>
          <w:sz w:val="22"/>
          <w:szCs w:val="22"/>
        </w:rPr>
        <w:t xml:space="preserve"> de baixo Z, com ~5 </w:t>
      </w:r>
      <w:r w:rsidRPr="00754CBE">
        <w:rPr>
          <w:rFonts w:ascii="Symbol" w:hAnsi="Symbol"/>
          <w:sz w:val="22"/>
          <w:szCs w:val="22"/>
        </w:rPr>
        <w:t></w:t>
      </w:r>
      <w:r>
        <w:rPr>
          <w:sz w:val="22"/>
          <w:szCs w:val="22"/>
        </w:rPr>
        <w:t>m de diâmetro,</w:t>
      </w:r>
      <w:r w:rsidR="005404A0" w:rsidRPr="007D2E5C">
        <w:rPr>
          <w:sz w:val="22"/>
          <w:szCs w:val="22"/>
        </w:rPr>
        <w:t xml:space="preserve"> </w:t>
      </w:r>
      <w:r>
        <w:rPr>
          <w:sz w:val="22"/>
          <w:szCs w:val="22"/>
        </w:rPr>
        <w:t>com</w:t>
      </w:r>
      <w:r w:rsidR="005404A0" w:rsidRPr="007D2E5C">
        <w:rPr>
          <w:sz w:val="22"/>
          <w:szCs w:val="22"/>
        </w:rPr>
        <w:t xml:space="preserve"> esferulitos</w:t>
      </w:r>
      <w:r>
        <w:rPr>
          <w:sz w:val="22"/>
          <w:szCs w:val="22"/>
        </w:rPr>
        <w:t xml:space="preserve"> </w:t>
      </w:r>
      <w:r w:rsidR="0037704B">
        <w:rPr>
          <w:sz w:val="22"/>
          <w:szCs w:val="22"/>
        </w:rPr>
        <w:t xml:space="preserve">com diâmetro </w:t>
      </w:r>
      <w:r>
        <w:rPr>
          <w:sz w:val="22"/>
          <w:szCs w:val="22"/>
        </w:rPr>
        <w:t xml:space="preserve">de ~0,1 </w:t>
      </w:r>
      <w:r w:rsidRPr="00754CBE">
        <w:rPr>
          <w:rFonts w:ascii="Symbol" w:hAnsi="Symbol"/>
          <w:sz w:val="22"/>
          <w:szCs w:val="22"/>
        </w:rPr>
        <w:t></w:t>
      </w:r>
      <w:r>
        <w:rPr>
          <w:sz w:val="22"/>
          <w:szCs w:val="22"/>
        </w:rPr>
        <w:t>m</w:t>
      </w:r>
      <w:r w:rsidR="000B31BB">
        <w:rPr>
          <w:sz w:val="22"/>
          <w:szCs w:val="22"/>
        </w:rPr>
        <w:t xml:space="preserve"> </w:t>
      </w:r>
      <w:r w:rsidR="005404A0" w:rsidRPr="007D2E5C">
        <w:rPr>
          <w:sz w:val="22"/>
          <w:szCs w:val="22"/>
        </w:rPr>
        <w:t>aderidos</w:t>
      </w:r>
      <w:r w:rsidR="0037704B">
        <w:rPr>
          <w:sz w:val="22"/>
          <w:szCs w:val="22"/>
        </w:rPr>
        <w:t>. O</w:t>
      </w:r>
      <w:r w:rsidR="005404A0" w:rsidRPr="007D2E5C">
        <w:rPr>
          <w:sz w:val="22"/>
          <w:szCs w:val="22"/>
        </w:rPr>
        <w:t xml:space="preserve"> espectro EDS </w:t>
      </w:r>
      <w:r w:rsidR="000608AE">
        <w:rPr>
          <w:sz w:val="22"/>
          <w:szCs w:val="22"/>
        </w:rPr>
        <w:t xml:space="preserve">do grão </w:t>
      </w:r>
      <w:r w:rsidR="005404A0" w:rsidRPr="007D2E5C">
        <w:rPr>
          <w:sz w:val="22"/>
          <w:szCs w:val="22"/>
        </w:rPr>
        <w:t xml:space="preserve">mostra a presença de Ca, Al, Si e um sinal de baixa intensidade de Pb </w:t>
      </w:r>
      <w:r>
        <w:rPr>
          <w:sz w:val="22"/>
          <w:szCs w:val="22"/>
        </w:rPr>
        <w:t xml:space="preserve">proveniente </w:t>
      </w:r>
      <w:r w:rsidR="005404A0" w:rsidRPr="007D2E5C">
        <w:rPr>
          <w:sz w:val="22"/>
          <w:szCs w:val="22"/>
        </w:rPr>
        <w:t>dos esferulitos</w:t>
      </w:r>
      <w:bookmarkEnd w:id="0"/>
      <w:r w:rsidR="005404A0">
        <w:rPr>
          <w:sz w:val="22"/>
          <w:szCs w:val="22"/>
        </w:rPr>
        <w:t>, que não podem ser analisados individualmente devido a seu tamanho reduzido.</w:t>
      </w:r>
      <w:bookmarkStart w:id="1" w:name="_Toc451853823"/>
      <w:r w:rsidR="005404A0">
        <w:rPr>
          <w:sz w:val="22"/>
          <w:szCs w:val="22"/>
        </w:rPr>
        <w:t xml:space="preserve"> A Fig. </w:t>
      </w:r>
      <w:r>
        <w:rPr>
          <w:sz w:val="22"/>
          <w:szCs w:val="22"/>
        </w:rPr>
        <w:t>2</w:t>
      </w:r>
      <w:r w:rsidR="000608AE">
        <w:rPr>
          <w:sz w:val="22"/>
          <w:szCs w:val="22"/>
        </w:rPr>
        <w:t>c</w:t>
      </w:r>
      <w:r w:rsidR="000B31BB">
        <w:rPr>
          <w:sz w:val="22"/>
          <w:szCs w:val="22"/>
        </w:rPr>
        <w:t xml:space="preserve"> </w:t>
      </w:r>
      <w:r w:rsidR="005404A0">
        <w:rPr>
          <w:sz w:val="22"/>
          <w:szCs w:val="22"/>
        </w:rPr>
        <w:t>mostra uma</w:t>
      </w:r>
      <w:r w:rsidR="005404A0" w:rsidRPr="007D2E5C">
        <w:rPr>
          <w:sz w:val="22"/>
          <w:szCs w:val="22"/>
        </w:rPr>
        <w:t xml:space="preserve"> partícula com aspecto </w:t>
      </w:r>
      <w:r>
        <w:rPr>
          <w:sz w:val="22"/>
          <w:szCs w:val="22"/>
        </w:rPr>
        <w:t>cristalino (euédrico) cujo espectro EDS mostra a presença de Al, Si e Pb, onde o Pb é proveniente dos esferulitos</w:t>
      </w:r>
      <w:bookmarkEnd w:id="1"/>
      <w:r w:rsidR="00590D73">
        <w:rPr>
          <w:sz w:val="22"/>
          <w:szCs w:val="22"/>
        </w:rPr>
        <w:t xml:space="preserve">. </w:t>
      </w:r>
      <w:bookmarkStart w:id="2" w:name="_Ref448334703"/>
      <w:bookmarkStart w:id="3" w:name="_Toc451853824"/>
    </w:p>
    <w:p w:rsidR="000608AE" w:rsidRDefault="000608AE" w:rsidP="005404A0">
      <w:pPr>
        <w:spacing w:line="240" w:lineRule="auto"/>
        <w:rPr>
          <w:sz w:val="22"/>
          <w:szCs w:val="22"/>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8"/>
        <w:gridCol w:w="3249"/>
        <w:gridCol w:w="3249"/>
      </w:tblGrid>
      <w:tr w:rsidR="005404A0" w:rsidTr="005F4BF1">
        <w:tc>
          <w:tcPr>
            <w:tcW w:w="3059" w:type="dxa"/>
            <w:vAlign w:val="center"/>
          </w:tcPr>
          <w:bookmarkEnd w:id="2"/>
          <w:bookmarkEnd w:id="3"/>
          <w:p w:rsidR="005404A0" w:rsidRDefault="00183E4A" w:rsidP="005F4BF1">
            <w:pPr>
              <w:tabs>
                <w:tab w:val="left" w:pos="1245"/>
              </w:tabs>
              <w:spacing w:line="240" w:lineRule="auto"/>
              <w:jc w:val="center"/>
            </w:pPr>
            <w:r w:rsidRPr="00183E4A">
              <w:rPr>
                <w:noProof/>
                <w:lang w:eastAsia="en-US"/>
              </w:rPr>
              <w:pict>
                <v:shapetype id="_x0000_t202" coordsize="21600,21600" o:spt="202" path="m,l,21600r21600,l21600,xe">
                  <v:stroke joinstyle="miter"/>
                  <v:path gradientshapeok="t" o:connecttype="rect"/>
                </v:shapetype>
                <v:shape id="_x0000_s1028" type="#_x0000_t202" style="position:absolute;left:0;text-align:left;margin-left:.35pt;margin-top:-.45pt;width:447.55pt;height:27.9pt;z-index:251660288;mso-height-percent:200;mso-height-percent:200;mso-width-relative:margin;mso-height-relative:margin" filled="f" stroked="f">
                  <v:textbox style="mso-fit-shape-to-text:t">
                    <w:txbxContent>
                      <w:p w:rsidR="00183E4A" w:rsidRPr="00183E4A" w:rsidRDefault="00183E4A">
                        <w:pPr>
                          <w:rPr>
                            <w:rFonts w:ascii="Arial" w:hAnsi="Arial" w:cs="Arial"/>
                            <w:b/>
                            <w:color w:val="FFFFFF" w:themeColor="background1"/>
                          </w:rPr>
                        </w:pPr>
                        <w:r w:rsidRPr="00183E4A">
                          <w:rPr>
                            <w:rFonts w:ascii="Arial" w:hAnsi="Arial" w:cs="Arial"/>
                            <w:b/>
                            <w:color w:val="FFFFFF" w:themeColor="background1"/>
                          </w:rPr>
                          <w:t xml:space="preserve">a)   </w:t>
                        </w:r>
                        <w:r w:rsidRPr="00183E4A">
                          <w:rPr>
                            <w:rFonts w:ascii="Arial" w:hAnsi="Arial" w:cs="Arial"/>
                            <w:b/>
                            <w:color w:val="FFFFFF" w:themeColor="background1"/>
                          </w:rPr>
                          <w:tab/>
                        </w:r>
                        <w:r w:rsidRPr="00183E4A">
                          <w:rPr>
                            <w:rFonts w:ascii="Arial" w:hAnsi="Arial" w:cs="Arial"/>
                            <w:b/>
                            <w:color w:val="FFFFFF" w:themeColor="background1"/>
                          </w:rPr>
                          <w:tab/>
                        </w:r>
                        <w:r w:rsidRPr="00183E4A">
                          <w:rPr>
                            <w:rFonts w:ascii="Arial" w:hAnsi="Arial" w:cs="Arial"/>
                            <w:b/>
                            <w:color w:val="FFFFFF" w:themeColor="background1"/>
                          </w:rPr>
                          <w:tab/>
                        </w:r>
                        <w:r w:rsidRPr="00183E4A">
                          <w:rPr>
                            <w:rFonts w:ascii="Arial" w:hAnsi="Arial" w:cs="Arial"/>
                            <w:b/>
                            <w:color w:val="FFFFFF" w:themeColor="background1"/>
                          </w:rPr>
                          <w:tab/>
                          <w:t xml:space="preserve">      b) </w:t>
                        </w:r>
                        <w:r w:rsidRPr="00183E4A">
                          <w:rPr>
                            <w:rFonts w:ascii="Arial" w:hAnsi="Arial" w:cs="Arial"/>
                            <w:b/>
                            <w:color w:val="FFFFFF" w:themeColor="background1"/>
                          </w:rPr>
                          <w:tab/>
                        </w:r>
                        <w:r w:rsidRPr="00183E4A">
                          <w:rPr>
                            <w:rFonts w:ascii="Arial" w:hAnsi="Arial" w:cs="Arial"/>
                            <w:b/>
                            <w:color w:val="FFFFFF" w:themeColor="background1"/>
                          </w:rPr>
                          <w:tab/>
                        </w:r>
                        <w:r w:rsidRPr="00183E4A">
                          <w:rPr>
                            <w:rFonts w:ascii="Arial" w:hAnsi="Arial" w:cs="Arial"/>
                            <w:b/>
                            <w:color w:val="FFFFFF" w:themeColor="background1"/>
                          </w:rPr>
                          <w:tab/>
                        </w:r>
                        <w:r w:rsidRPr="00183E4A">
                          <w:rPr>
                            <w:rFonts w:ascii="Arial" w:hAnsi="Arial" w:cs="Arial"/>
                            <w:b/>
                            <w:color w:val="FFFFFF" w:themeColor="background1"/>
                          </w:rPr>
                          <w:tab/>
                        </w:r>
                        <w:r w:rsidRPr="00183E4A">
                          <w:rPr>
                            <w:rFonts w:ascii="Arial" w:hAnsi="Arial" w:cs="Arial"/>
                            <w:b/>
                            <w:color w:val="FFFFFF" w:themeColor="background1"/>
                          </w:rPr>
                          <w:tab/>
                          <w:t xml:space="preserve">  c)</w:t>
                        </w:r>
                      </w:p>
                    </w:txbxContent>
                  </v:textbox>
                </v:shape>
              </w:pict>
            </w:r>
            <w:r w:rsidR="000F6FF3">
              <w:rPr>
                <w:noProof/>
              </w:rPr>
              <w:pict>
                <v:shapetype id="_x0000_t32" coordsize="21600,21600" o:spt="32" o:oned="t" path="m,l21600,21600e" filled="f">
                  <v:path arrowok="t" fillok="f" o:connecttype="none"/>
                  <o:lock v:ext="edit" shapetype="t"/>
                </v:shapetype>
                <v:shape id="_x0000_s1027" type="#_x0000_t32" style="position:absolute;left:0;text-align:left;margin-left:101.1pt;margin-top:31.85pt;width:26.4pt;height:4.2pt;flip:x;z-index:251658240" o:connectortype="straight" strokecolor="white [3212]" strokeweight="1.5pt">
                  <v:stroke endarrow="block"/>
                </v:shape>
              </w:pict>
            </w:r>
            <w:r w:rsidR="005F4BF1">
              <w:rPr>
                <w:noProof/>
              </w:rPr>
              <w:drawing>
                <wp:inline distT="0" distB="0" distL="0" distR="0">
                  <wp:extent cx="1923934" cy="1440000"/>
                  <wp:effectExtent l="19050" t="0" r="116" b="0"/>
                  <wp:docPr id="15" name="Imagem 7" descr="F:\A_dados\Colaboracoes\bolsistas\Paulo_Ost_Frank\20160412_LV5800\C10X2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_dados\Colaboracoes\bolsistas\Paulo_Ost_Frank\20160412_LV5800\C10X2KB.jpg"/>
                          <pic:cNvPicPr>
                            <a:picLocks noChangeAspect="1" noChangeArrowheads="1"/>
                          </pic:cNvPicPr>
                        </pic:nvPicPr>
                        <pic:blipFill>
                          <a:blip r:embed="rId9"/>
                          <a:srcRect/>
                          <a:stretch>
                            <a:fillRect/>
                          </a:stretch>
                        </pic:blipFill>
                        <pic:spPr bwMode="auto">
                          <a:xfrm>
                            <a:off x="0" y="0"/>
                            <a:ext cx="1923934" cy="1440000"/>
                          </a:xfrm>
                          <a:prstGeom prst="rect">
                            <a:avLst/>
                          </a:prstGeom>
                          <a:noFill/>
                          <a:ln w="9525">
                            <a:noFill/>
                            <a:miter lim="800000"/>
                            <a:headEnd/>
                            <a:tailEnd/>
                          </a:ln>
                        </pic:spPr>
                      </pic:pic>
                    </a:graphicData>
                  </a:graphic>
                </wp:inline>
              </w:drawing>
            </w:r>
          </w:p>
        </w:tc>
        <w:tc>
          <w:tcPr>
            <w:tcW w:w="3060" w:type="dxa"/>
            <w:vAlign w:val="center"/>
          </w:tcPr>
          <w:p w:rsidR="005404A0" w:rsidRDefault="005F4BF1" w:rsidP="005F4BF1">
            <w:pPr>
              <w:tabs>
                <w:tab w:val="left" w:pos="1245"/>
              </w:tabs>
              <w:spacing w:line="240" w:lineRule="auto"/>
              <w:jc w:val="center"/>
            </w:pPr>
            <w:r>
              <w:rPr>
                <w:noProof/>
              </w:rPr>
              <w:drawing>
                <wp:inline distT="0" distB="0" distL="0" distR="0">
                  <wp:extent cx="1922535" cy="1440000"/>
                  <wp:effectExtent l="19050" t="0" r="1515" b="0"/>
                  <wp:docPr id="16" name="Imagem 8" descr="F:\A_dados\Colaboracoes\bolsistas\Paulo_Ost_Frank\20160412_LV5800\C10X8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_dados\Colaboracoes\bolsistas\Paulo_Ost_Frank\20160412_LV5800\C10X8KB.jpg"/>
                          <pic:cNvPicPr>
                            <a:picLocks noChangeAspect="1" noChangeArrowheads="1"/>
                          </pic:cNvPicPr>
                        </pic:nvPicPr>
                        <pic:blipFill>
                          <a:blip r:embed="rId10"/>
                          <a:srcRect/>
                          <a:stretch>
                            <a:fillRect/>
                          </a:stretch>
                        </pic:blipFill>
                        <pic:spPr bwMode="auto">
                          <a:xfrm>
                            <a:off x="0" y="0"/>
                            <a:ext cx="1922535" cy="1440000"/>
                          </a:xfrm>
                          <a:prstGeom prst="rect">
                            <a:avLst/>
                          </a:prstGeom>
                          <a:noFill/>
                          <a:ln w="9525">
                            <a:noFill/>
                            <a:miter lim="800000"/>
                            <a:headEnd/>
                            <a:tailEnd/>
                          </a:ln>
                        </pic:spPr>
                      </pic:pic>
                    </a:graphicData>
                  </a:graphic>
                </wp:inline>
              </w:drawing>
            </w:r>
          </w:p>
        </w:tc>
        <w:tc>
          <w:tcPr>
            <w:tcW w:w="3060" w:type="dxa"/>
            <w:vAlign w:val="center"/>
          </w:tcPr>
          <w:p w:rsidR="005404A0" w:rsidRDefault="005F4BF1" w:rsidP="005404A0">
            <w:pPr>
              <w:tabs>
                <w:tab w:val="left" w:pos="1245"/>
              </w:tabs>
              <w:spacing w:line="240" w:lineRule="auto"/>
              <w:jc w:val="center"/>
            </w:pPr>
            <w:r>
              <w:rPr>
                <w:noProof/>
              </w:rPr>
              <w:drawing>
                <wp:inline distT="0" distB="0" distL="0" distR="0">
                  <wp:extent cx="1920600" cy="1440000"/>
                  <wp:effectExtent l="19050" t="0" r="3450" b="0"/>
                  <wp:docPr id="14" name="Imagem 9" descr="F:\A_dados\Colaboracoes\bolsistas\Paulo_Ost_Frank\20160412_LV5800\C10X13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_dados\Colaboracoes\bolsistas\Paulo_Ost_Frank\20160412_LV5800\C10X13KS.jpg"/>
                          <pic:cNvPicPr>
                            <a:picLocks noChangeAspect="1" noChangeArrowheads="1"/>
                          </pic:cNvPicPr>
                        </pic:nvPicPr>
                        <pic:blipFill>
                          <a:blip r:embed="rId11"/>
                          <a:srcRect/>
                          <a:stretch>
                            <a:fillRect/>
                          </a:stretch>
                        </pic:blipFill>
                        <pic:spPr bwMode="auto">
                          <a:xfrm>
                            <a:off x="0" y="0"/>
                            <a:ext cx="1920600" cy="1440000"/>
                          </a:xfrm>
                          <a:prstGeom prst="rect">
                            <a:avLst/>
                          </a:prstGeom>
                          <a:noFill/>
                          <a:ln w="9525">
                            <a:noFill/>
                            <a:miter lim="800000"/>
                            <a:headEnd/>
                            <a:tailEnd/>
                          </a:ln>
                        </pic:spPr>
                      </pic:pic>
                    </a:graphicData>
                  </a:graphic>
                </wp:inline>
              </w:drawing>
            </w:r>
          </w:p>
        </w:tc>
      </w:tr>
    </w:tbl>
    <w:p w:rsidR="00BD2918" w:rsidRPr="00FC71F5" w:rsidRDefault="00BD2918" w:rsidP="0038121C">
      <w:pPr>
        <w:spacing w:before="120" w:after="240" w:line="240" w:lineRule="auto"/>
        <w:jc w:val="center"/>
        <w:rPr>
          <w:sz w:val="22"/>
          <w:szCs w:val="22"/>
        </w:rPr>
      </w:pPr>
      <w:r w:rsidRPr="00FC71F5">
        <w:rPr>
          <w:b/>
          <w:sz w:val="22"/>
          <w:szCs w:val="22"/>
        </w:rPr>
        <w:t>Figura 2.</w:t>
      </w:r>
      <w:r w:rsidR="000B31BB">
        <w:rPr>
          <w:sz w:val="22"/>
          <w:szCs w:val="22"/>
        </w:rPr>
        <w:t xml:space="preserve"> </w:t>
      </w:r>
      <w:r w:rsidR="00754CBE">
        <w:rPr>
          <w:sz w:val="22"/>
          <w:szCs w:val="22"/>
        </w:rPr>
        <w:t>Micrografias de GSR de munição CBC-NTA</w:t>
      </w:r>
    </w:p>
    <w:p w:rsidR="00754CBE" w:rsidRDefault="00D20947" w:rsidP="005404A0">
      <w:pPr>
        <w:spacing w:line="240" w:lineRule="auto"/>
        <w:ind w:firstLine="851"/>
        <w:rPr>
          <w:sz w:val="22"/>
          <w:szCs w:val="22"/>
        </w:rPr>
      </w:pPr>
      <w:r>
        <w:rPr>
          <w:sz w:val="22"/>
          <w:szCs w:val="22"/>
        </w:rPr>
        <w:t>Uma fração muito grande das partículas analisadas</w:t>
      </w:r>
      <w:r w:rsidR="005404A0" w:rsidRPr="007D2E5C">
        <w:rPr>
          <w:sz w:val="22"/>
          <w:szCs w:val="22"/>
        </w:rPr>
        <w:t xml:space="preserve"> apresentou morfologia </w:t>
      </w:r>
      <w:r w:rsidR="00590D73">
        <w:rPr>
          <w:sz w:val="22"/>
          <w:szCs w:val="22"/>
        </w:rPr>
        <w:t xml:space="preserve">de aglomerados </w:t>
      </w:r>
      <w:r w:rsidR="005404A0" w:rsidRPr="007D2E5C">
        <w:rPr>
          <w:sz w:val="22"/>
          <w:szCs w:val="22"/>
        </w:rPr>
        <w:t>anédric</w:t>
      </w:r>
      <w:r w:rsidR="00590D73">
        <w:rPr>
          <w:sz w:val="22"/>
          <w:szCs w:val="22"/>
        </w:rPr>
        <w:t>os</w:t>
      </w:r>
      <w:r w:rsidR="005404A0" w:rsidRPr="007D2E5C">
        <w:rPr>
          <w:sz w:val="22"/>
          <w:szCs w:val="22"/>
        </w:rPr>
        <w:t>, de aspecto botroidal</w:t>
      </w:r>
      <w:r w:rsidR="000B31BB">
        <w:rPr>
          <w:sz w:val="22"/>
          <w:szCs w:val="22"/>
        </w:rPr>
        <w:t xml:space="preserve"> </w:t>
      </w:r>
      <w:r>
        <w:rPr>
          <w:sz w:val="22"/>
          <w:szCs w:val="22"/>
        </w:rPr>
        <w:t xml:space="preserve">como os grãos das </w:t>
      </w:r>
      <w:r w:rsidR="00590D73">
        <w:rPr>
          <w:sz w:val="22"/>
          <w:szCs w:val="22"/>
        </w:rPr>
        <w:t>Fig</w:t>
      </w:r>
      <w:r w:rsidR="00A01324">
        <w:rPr>
          <w:sz w:val="22"/>
          <w:szCs w:val="22"/>
        </w:rPr>
        <w:t>s</w:t>
      </w:r>
      <w:r w:rsidR="00590D73">
        <w:rPr>
          <w:sz w:val="22"/>
          <w:szCs w:val="22"/>
        </w:rPr>
        <w:t>. 2a e 2</w:t>
      </w:r>
      <w:r w:rsidR="00A01324">
        <w:rPr>
          <w:sz w:val="22"/>
          <w:szCs w:val="22"/>
        </w:rPr>
        <w:t>b</w:t>
      </w:r>
      <w:r w:rsidR="005404A0" w:rsidRPr="007D2E5C">
        <w:rPr>
          <w:sz w:val="22"/>
          <w:szCs w:val="22"/>
        </w:rPr>
        <w:t>.</w:t>
      </w:r>
      <w:r w:rsidR="00754CBE">
        <w:rPr>
          <w:sz w:val="22"/>
          <w:szCs w:val="22"/>
        </w:rPr>
        <w:t xml:space="preserve"> </w:t>
      </w:r>
      <w:r w:rsidR="00740112">
        <w:rPr>
          <w:sz w:val="22"/>
          <w:szCs w:val="22"/>
        </w:rPr>
        <w:t>O</w:t>
      </w:r>
      <w:r w:rsidR="00A01324">
        <w:rPr>
          <w:sz w:val="22"/>
          <w:szCs w:val="22"/>
        </w:rPr>
        <w:t xml:space="preserve"> difratograma de raios X </w:t>
      </w:r>
      <w:r w:rsidR="00754CBE">
        <w:rPr>
          <w:sz w:val="22"/>
          <w:szCs w:val="22"/>
        </w:rPr>
        <w:t>d</w:t>
      </w:r>
      <w:r w:rsidR="00590D73">
        <w:rPr>
          <w:sz w:val="22"/>
          <w:szCs w:val="22"/>
        </w:rPr>
        <w:t>e</w:t>
      </w:r>
      <w:r w:rsidR="00754CBE">
        <w:rPr>
          <w:sz w:val="22"/>
          <w:szCs w:val="22"/>
        </w:rPr>
        <w:t xml:space="preserve"> GSR proveniente da deflagração d</w:t>
      </w:r>
      <w:r w:rsidR="00A01324">
        <w:rPr>
          <w:sz w:val="22"/>
          <w:szCs w:val="22"/>
        </w:rPr>
        <w:t>e uma</w:t>
      </w:r>
      <w:r w:rsidR="00754CBE">
        <w:rPr>
          <w:sz w:val="22"/>
          <w:szCs w:val="22"/>
        </w:rPr>
        <w:t xml:space="preserve"> espoleta CBC-NTA</w:t>
      </w:r>
      <w:r w:rsidR="00F84C95">
        <w:rPr>
          <w:sz w:val="22"/>
          <w:szCs w:val="22"/>
        </w:rPr>
        <w:t xml:space="preserve"> obtida em trabalho anterior [</w:t>
      </w:r>
      <w:r>
        <w:rPr>
          <w:sz w:val="22"/>
          <w:szCs w:val="22"/>
        </w:rPr>
        <w:t>4</w:t>
      </w:r>
      <w:r w:rsidR="00F84C95">
        <w:rPr>
          <w:sz w:val="22"/>
          <w:szCs w:val="22"/>
        </w:rPr>
        <w:t>]</w:t>
      </w:r>
      <w:r w:rsidR="00754CBE">
        <w:rPr>
          <w:sz w:val="22"/>
          <w:szCs w:val="22"/>
        </w:rPr>
        <w:t xml:space="preserve"> mostra um alto </w:t>
      </w:r>
      <w:r w:rsidR="00754CBE" w:rsidRPr="00D20947">
        <w:rPr>
          <w:i/>
          <w:sz w:val="22"/>
          <w:szCs w:val="22"/>
        </w:rPr>
        <w:t>background</w:t>
      </w:r>
      <w:r w:rsidR="00800CAD">
        <w:rPr>
          <w:sz w:val="22"/>
          <w:szCs w:val="22"/>
        </w:rPr>
        <w:t xml:space="preserve"> entre 2</w:t>
      </w:r>
      <w:r w:rsidR="00800CAD" w:rsidRPr="00800CAD">
        <w:rPr>
          <w:rFonts w:ascii="Symbol" w:hAnsi="Symbol"/>
          <w:sz w:val="22"/>
          <w:szCs w:val="22"/>
        </w:rPr>
        <w:t></w:t>
      </w:r>
      <w:r w:rsidR="00800CAD">
        <w:rPr>
          <w:rFonts w:ascii="Symbol" w:hAnsi="Symbol"/>
          <w:sz w:val="22"/>
          <w:szCs w:val="22"/>
        </w:rPr>
        <w:t></w:t>
      </w:r>
      <w:r w:rsidR="0037704B">
        <w:rPr>
          <w:rFonts w:ascii="Symbol" w:hAnsi="Symbol"/>
          <w:sz w:val="22"/>
          <w:szCs w:val="22"/>
        </w:rPr>
        <w:t></w:t>
      </w:r>
      <w:r w:rsidR="00800CAD">
        <w:rPr>
          <w:sz w:val="22"/>
          <w:szCs w:val="22"/>
        </w:rPr>
        <w:t>= 15º e 35º</w:t>
      </w:r>
      <w:r w:rsidR="00F84C95">
        <w:rPr>
          <w:sz w:val="22"/>
          <w:szCs w:val="22"/>
        </w:rPr>
        <w:t>,</w:t>
      </w:r>
      <w:r w:rsidR="00754CBE">
        <w:rPr>
          <w:sz w:val="22"/>
          <w:szCs w:val="22"/>
        </w:rPr>
        <w:t xml:space="preserve"> consistente com </w:t>
      </w:r>
      <w:r w:rsidR="0038121C">
        <w:rPr>
          <w:sz w:val="22"/>
          <w:szCs w:val="22"/>
        </w:rPr>
        <w:t xml:space="preserve">uma </w:t>
      </w:r>
      <w:r w:rsidR="00A01324">
        <w:rPr>
          <w:sz w:val="22"/>
          <w:szCs w:val="22"/>
        </w:rPr>
        <w:t xml:space="preserve">grande </w:t>
      </w:r>
      <w:r w:rsidR="00800CAD">
        <w:rPr>
          <w:sz w:val="22"/>
          <w:szCs w:val="22"/>
        </w:rPr>
        <w:t xml:space="preserve">fração de </w:t>
      </w:r>
      <w:r w:rsidR="00754CBE">
        <w:rPr>
          <w:sz w:val="22"/>
          <w:szCs w:val="22"/>
        </w:rPr>
        <w:t xml:space="preserve">volume de fase amorfa, </w:t>
      </w:r>
      <w:r w:rsidR="00590D73">
        <w:rPr>
          <w:sz w:val="22"/>
          <w:szCs w:val="22"/>
        </w:rPr>
        <w:t>além de</w:t>
      </w:r>
      <w:r w:rsidR="00754CBE">
        <w:rPr>
          <w:sz w:val="22"/>
          <w:szCs w:val="22"/>
        </w:rPr>
        <w:t xml:space="preserve"> picos de fases cristalizadas, identificadas como nitrato de potássio</w:t>
      </w:r>
      <w:r w:rsidR="00740112">
        <w:rPr>
          <w:sz w:val="22"/>
          <w:szCs w:val="22"/>
        </w:rPr>
        <w:t>,</w:t>
      </w:r>
      <w:r w:rsidR="000B31BB">
        <w:rPr>
          <w:sz w:val="22"/>
          <w:szCs w:val="22"/>
        </w:rPr>
        <w:t xml:space="preserve"> </w:t>
      </w:r>
      <w:r w:rsidR="00740112">
        <w:rPr>
          <w:sz w:val="22"/>
          <w:szCs w:val="22"/>
        </w:rPr>
        <w:t>alumínio,</w:t>
      </w:r>
      <w:r w:rsidR="000B31BB">
        <w:rPr>
          <w:sz w:val="22"/>
          <w:szCs w:val="22"/>
        </w:rPr>
        <w:t xml:space="preserve"> </w:t>
      </w:r>
      <w:r w:rsidR="00AC7CDB">
        <w:rPr>
          <w:sz w:val="22"/>
          <w:szCs w:val="22"/>
        </w:rPr>
        <w:t>quartzo</w:t>
      </w:r>
      <w:r w:rsidR="00754CBE">
        <w:rPr>
          <w:sz w:val="22"/>
          <w:szCs w:val="22"/>
        </w:rPr>
        <w:t xml:space="preserve"> </w:t>
      </w:r>
      <w:r w:rsidR="00740112">
        <w:rPr>
          <w:sz w:val="22"/>
          <w:szCs w:val="22"/>
        </w:rPr>
        <w:t>e microclínio.</w:t>
      </w:r>
      <w:r w:rsidR="00754CBE">
        <w:rPr>
          <w:sz w:val="22"/>
          <w:szCs w:val="22"/>
        </w:rPr>
        <w:t xml:space="preserve"> </w:t>
      </w:r>
    </w:p>
    <w:p w:rsidR="00C30F8C" w:rsidRPr="007D2E5C" w:rsidRDefault="00800CAD" w:rsidP="00C30F8C">
      <w:pPr>
        <w:spacing w:line="240" w:lineRule="auto"/>
        <w:rPr>
          <w:sz w:val="22"/>
          <w:szCs w:val="22"/>
        </w:rPr>
      </w:pPr>
      <w:r>
        <w:rPr>
          <w:sz w:val="22"/>
          <w:szCs w:val="22"/>
        </w:rPr>
        <w:tab/>
      </w:r>
      <w:r w:rsidRPr="007D2E5C">
        <w:rPr>
          <w:sz w:val="22"/>
          <w:szCs w:val="22"/>
        </w:rPr>
        <w:t xml:space="preserve">Neste trabalho se propõe que a presença de uma população de partículas </w:t>
      </w:r>
      <w:r>
        <w:rPr>
          <w:sz w:val="22"/>
          <w:szCs w:val="22"/>
        </w:rPr>
        <w:t>de número atômico médio baixo com aspecto</w:t>
      </w:r>
      <w:r w:rsidRPr="007D2E5C">
        <w:rPr>
          <w:sz w:val="22"/>
          <w:szCs w:val="22"/>
        </w:rPr>
        <w:t xml:space="preserve"> amorfo-botroidal, </w:t>
      </w:r>
      <w:r>
        <w:rPr>
          <w:sz w:val="22"/>
          <w:szCs w:val="22"/>
        </w:rPr>
        <w:t>apresentando</w:t>
      </w:r>
      <w:r w:rsidRPr="007D2E5C">
        <w:rPr>
          <w:sz w:val="22"/>
          <w:szCs w:val="22"/>
        </w:rPr>
        <w:t xml:space="preserve"> uma incrustação </w:t>
      </w:r>
      <w:r w:rsidR="00932A99">
        <w:rPr>
          <w:sz w:val="22"/>
          <w:szCs w:val="22"/>
        </w:rPr>
        <w:t>de chumbo na forma de</w:t>
      </w:r>
      <w:r w:rsidRPr="007D2E5C">
        <w:rPr>
          <w:sz w:val="22"/>
          <w:szCs w:val="22"/>
        </w:rPr>
        <w:t xml:space="preserve"> esferulitos </w:t>
      </w:r>
      <w:r w:rsidR="00932A99">
        <w:rPr>
          <w:sz w:val="22"/>
          <w:szCs w:val="22"/>
        </w:rPr>
        <w:t xml:space="preserve">com </w:t>
      </w:r>
      <w:r w:rsidRPr="007D2E5C">
        <w:rPr>
          <w:sz w:val="22"/>
          <w:szCs w:val="22"/>
        </w:rPr>
        <w:t>0,</w:t>
      </w:r>
      <w:r>
        <w:rPr>
          <w:sz w:val="22"/>
          <w:szCs w:val="22"/>
        </w:rPr>
        <w:t>0</w:t>
      </w:r>
      <w:r w:rsidRPr="007D2E5C">
        <w:rPr>
          <w:sz w:val="22"/>
          <w:szCs w:val="22"/>
        </w:rPr>
        <w:t>1</w:t>
      </w:r>
      <w:r w:rsidR="00932A99">
        <w:rPr>
          <w:sz w:val="22"/>
          <w:szCs w:val="22"/>
        </w:rPr>
        <w:t xml:space="preserve"> </w:t>
      </w:r>
      <w:r w:rsidRPr="007D2E5C">
        <w:rPr>
          <w:rFonts w:ascii="Symbol" w:hAnsi="Symbol"/>
          <w:sz w:val="22"/>
          <w:szCs w:val="22"/>
        </w:rPr>
        <w:t></w:t>
      </w:r>
      <w:r w:rsidRPr="007D2E5C">
        <w:rPr>
          <w:sz w:val="22"/>
          <w:szCs w:val="22"/>
        </w:rPr>
        <w:t xml:space="preserve">m </w:t>
      </w:r>
      <w:r>
        <w:rPr>
          <w:sz w:val="22"/>
          <w:szCs w:val="22"/>
        </w:rPr>
        <w:t xml:space="preserve">a 0,5 </w:t>
      </w:r>
      <w:r w:rsidRPr="007D2E5C">
        <w:rPr>
          <w:rFonts w:ascii="Symbol" w:hAnsi="Symbol"/>
          <w:sz w:val="22"/>
          <w:szCs w:val="22"/>
        </w:rPr>
        <w:t></w:t>
      </w:r>
      <w:r w:rsidRPr="007D2E5C">
        <w:rPr>
          <w:sz w:val="22"/>
          <w:szCs w:val="22"/>
        </w:rPr>
        <w:t>m</w:t>
      </w:r>
      <w:r w:rsidR="000B31BB">
        <w:rPr>
          <w:sz w:val="22"/>
          <w:szCs w:val="22"/>
        </w:rPr>
        <w:t xml:space="preserve"> </w:t>
      </w:r>
      <w:r w:rsidRPr="007D2E5C">
        <w:rPr>
          <w:sz w:val="22"/>
          <w:szCs w:val="22"/>
        </w:rPr>
        <w:t xml:space="preserve">de </w:t>
      </w:r>
      <w:r w:rsidR="00932A99">
        <w:rPr>
          <w:sz w:val="22"/>
          <w:szCs w:val="22"/>
        </w:rPr>
        <w:t>diâmetro</w:t>
      </w:r>
      <w:r w:rsidR="00F84C95">
        <w:rPr>
          <w:sz w:val="22"/>
          <w:szCs w:val="22"/>
        </w:rPr>
        <w:t>,</w:t>
      </w:r>
      <w:r>
        <w:rPr>
          <w:sz w:val="22"/>
          <w:szCs w:val="22"/>
        </w:rPr>
        <w:t xml:space="preserve"> </w:t>
      </w:r>
      <w:r w:rsidRPr="007D2E5C">
        <w:rPr>
          <w:sz w:val="22"/>
          <w:szCs w:val="22"/>
        </w:rPr>
        <w:t>possa ser considerad</w:t>
      </w:r>
      <w:r w:rsidR="00D20947">
        <w:rPr>
          <w:sz w:val="22"/>
          <w:szCs w:val="22"/>
        </w:rPr>
        <w:t>a</w:t>
      </w:r>
      <w:r w:rsidRPr="007D2E5C">
        <w:rPr>
          <w:sz w:val="22"/>
          <w:szCs w:val="22"/>
        </w:rPr>
        <w:t xml:space="preserve"> </w:t>
      </w:r>
      <w:r w:rsidR="0038121C">
        <w:rPr>
          <w:sz w:val="22"/>
          <w:szCs w:val="22"/>
        </w:rPr>
        <w:t xml:space="preserve">como </w:t>
      </w:r>
      <w:r w:rsidRPr="007D2E5C">
        <w:rPr>
          <w:sz w:val="22"/>
          <w:szCs w:val="22"/>
        </w:rPr>
        <w:t xml:space="preserve">evidência </w:t>
      </w:r>
      <w:r w:rsidR="0038121C">
        <w:rPr>
          <w:sz w:val="22"/>
          <w:szCs w:val="22"/>
        </w:rPr>
        <w:t xml:space="preserve">inequívoca </w:t>
      </w:r>
      <w:r w:rsidRPr="007D2E5C">
        <w:rPr>
          <w:sz w:val="22"/>
          <w:szCs w:val="22"/>
        </w:rPr>
        <w:t xml:space="preserve">de disparo de munição </w:t>
      </w:r>
      <w:r w:rsidR="00D20947">
        <w:rPr>
          <w:sz w:val="22"/>
          <w:szCs w:val="22"/>
        </w:rPr>
        <w:t>S</w:t>
      </w:r>
      <w:r w:rsidRPr="007D2E5C">
        <w:rPr>
          <w:sz w:val="22"/>
          <w:szCs w:val="22"/>
        </w:rPr>
        <w:t>intox.</w:t>
      </w:r>
      <w:r w:rsidR="000B31BB">
        <w:rPr>
          <w:sz w:val="22"/>
          <w:szCs w:val="22"/>
        </w:rPr>
        <w:t xml:space="preserve"> </w:t>
      </w:r>
      <w:r>
        <w:rPr>
          <w:sz w:val="22"/>
          <w:szCs w:val="22"/>
        </w:rPr>
        <w:t xml:space="preserve">A morfologia </w:t>
      </w:r>
      <w:r w:rsidR="0025160A">
        <w:rPr>
          <w:sz w:val="22"/>
          <w:szCs w:val="22"/>
        </w:rPr>
        <w:t xml:space="preserve">anédrica </w:t>
      </w:r>
      <w:r>
        <w:rPr>
          <w:sz w:val="22"/>
          <w:szCs w:val="22"/>
        </w:rPr>
        <w:t>destas partículas indica que</w:t>
      </w:r>
      <w:r w:rsidRPr="007D2E5C">
        <w:rPr>
          <w:sz w:val="22"/>
          <w:szCs w:val="22"/>
        </w:rPr>
        <w:t xml:space="preserve"> não </w:t>
      </w:r>
      <w:r>
        <w:rPr>
          <w:sz w:val="22"/>
          <w:szCs w:val="22"/>
        </w:rPr>
        <w:t>são</w:t>
      </w:r>
      <w:r w:rsidRPr="007D2E5C">
        <w:rPr>
          <w:sz w:val="22"/>
          <w:szCs w:val="22"/>
        </w:rPr>
        <w:t xml:space="preserve"> de origem ambiental</w:t>
      </w:r>
      <w:r>
        <w:rPr>
          <w:sz w:val="22"/>
          <w:szCs w:val="22"/>
        </w:rPr>
        <w:t xml:space="preserve"> (mineral)</w:t>
      </w:r>
      <w:r w:rsidRPr="007D2E5C">
        <w:rPr>
          <w:sz w:val="22"/>
          <w:szCs w:val="22"/>
        </w:rPr>
        <w:t xml:space="preserve"> e </w:t>
      </w:r>
      <w:r>
        <w:rPr>
          <w:sz w:val="22"/>
          <w:szCs w:val="22"/>
        </w:rPr>
        <w:t>o</w:t>
      </w:r>
      <w:r w:rsidR="00C416AE">
        <w:rPr>
          <w:sz w:val="22"/>
          <w:szCs w:val="22"/>
        </w:rPr>
        <w:t>s esferulitos de Pb (</w:t>
      </w:r>
      <w:r w:rsidRPr="00800CAD">
        <w:rPr>
          <w:i/>
          <w:sz w:val="22"/>
          <w:szCs w:val="22"/>
        </w:rPr>
        <w:t>spray</w:t>
      </w:r>
      <w:r>
        <w:rPr>
          <w:sz w:val="22"/>
          <w:szCs w:val="22"/>
        </w:rPr>
        <w:t xml:space="preserve"> de Pb</w:t>
      </w:r>
      <w:r w:rsidR="00C416AE">
        <w:rPr>
          <w:sz w:val="22"/>
          <w:szCs w:val="22"/>
        </w:rPr>
        <w:t>)</w:t>
      </w:r>
      <w:r>
        <w:rPr>
          <w:sz w:val="22"/>
          <w:szCs w:val="22"/>
        </w:rPr>
        <w:t xml:space="preserve"> </w:t>
      </w:r>
      <w:r w:rsidR="00C416AE">
        <w:rPr>
          <w:sz w:val="22"/>
          <w:szCs w:val="22"/>
        </w:rPr>
        <w:t xml:space="preserve">são consistentes com a volatilização em </w:t>
      </w:r>
      <w:r>
        <w:rPr>
          <w:sz w:val="22"/>
          <w:szCs w:val="22"/>
        </w:rPr>
        <w:t>alta temperatura e a condensação posterior de chumbo</w:t>
      </w:r>
      <w:r w:rsidR="00C30F8C">
        <w:rPr>
          <w:sz w:val="22"/>
          <w:szCs w:val="22"/>
        </w:rPr>
        <w:t xml:space="preserve"> durante os estágios do disparo</w:t>
      </w:r>
      <w:r w:rsidR="00F84C95">
        <w:rPr>
          <w:sz w:val="22"/>
          <w:szCs w:val="22"/>
        </w:rPr>
        <w:t xml:space="preserve"> [</w:t>
      </w:r>
      <w:r w:rsidR="00D20947">
        <w:rPr>
          <w:sz w:val="22"/>
          <w:szCs w:val="22"/>
        </w:rPr>
        <w:t>3</w:t>
      </w:r>
      <w:r w:rsidR="00F84C95">
        <w:rPr>
          <w:sz w:val="22"/>
          <w:szCs w:val="22"/>
        </w:rPr>
        <w:t>]</w:t>
      </w:r>
      <w:r w:rsidR="00C30F8C">
        <w:rPr>
          <w:sz w:val="22"/>
          <w:szCs w:val="22"/>
        </w:rPr>
        <w:t>. A</w:t>
      </w:r>
      <w:r w:rsidR="00C30F8C" w:rsidRPr="007D2E5C">
        <w:rPr>
          <w:sz w:val="22"/>
          <w:szCs w:val="22"/>
        </w:rPr>
        <w:t xml:space="preserve"> </w:t>
      </w:r>
      <w:r w:rsidR="00C30F8C">
        <w:rPr>
          <w:sz w:val="22"/>
          <w:szCs w:val="22"/>
        </w:rPr>
        <w:t xml:space="preserve">possibilidade de </w:t>
      </w:r>
      <w:r w:rsidR="00C30F8C" w:rsidRPr="007D2E5C">
        <w:rPr>
          <w:sz w:val="22"/>
          <w:szCs w:val="22"/>
        </w:rPr>
        <w:t xml:space="preserve">contaminação da arma </w:t>
      </w:r>
      <w:r w:rsidR="00C30F8C">
        <w:rPr>
          <w:sz w:val="22"/>
          <w:szCs w:val="22"/>
        </w:rPr>
        <w:t>por</w:t>
      </w:r>
      <w:r w:rsidR="00C30F8C" w:rsidRPr="007D2E5C">
        <w:rPr>
          <w:sz w:val="22"/>
          <w:szCs w:val="22"/>
        </w:rPr>
        <w:t xml:space="preserve"> disparos anteriores deve ser tomada em consideração para uma eventual produção de padrão operacional para análise de GSR de munição Sintox, visto que raramente alguma arma em circulação no país tenha permanecido sem contato com munições convencionais. </w:t>
      </w:r>
      <w:r w:rsidR="000F29D7" w:rsidRPr="000F29D7">
        <w:rPr>
          <w:sz w:val="22"/>
          <w:szCs w:val="22"/>
        </w:rPr>
        <w:t>O pequeno volume dos esferulitos de chumbo (da ordem de 0,0</w:t>
      </w:r>
      <w:r w:rsidR="00183E4A">
        <w:rPr>
          <w:sz w:val="22"/>
          <w:szCs w:val="22"/>
        </w:rPr>
        <w:t>0</w:t>
      </w:r>
      <w:r w:rsidR="000F29D7" w:rsidRPr="000F29D7">
        <w:rPr>
          <w:sz w:val="22"/>
          <w:szCs w:val="22"/>
        </w:rPr>
        <w:t xml:space="preserve">1 </w:t>
      </w:r>
      <w:r w:rsidR="00183E4A" w:rsidRPr="000F29D7">
        <w:rPr>
          <w:rFonts w:ascii="Symbol" w:hAnsi="Symbol"/>
          <w:sz w:val="22"/>
          <w:szCs w:val="22"/>
        </w:rPr>
        <w:t></w:t>
      </w:r>
      <w:r w:rsidR="00183E4A" w:rsidRPr="000F29D7">
        <w:rPr>
          <w:sz w:val="22"/>
          <w:szCs w:val="22"/>
        </w:rPr>
        <w:t>m</w:t>
      </w:r>
      <w:r w:rsidR="00183E4A" w:rsidRPr="000F29D7">
        <w:rPr>
          <w:sz w:val="22"/>
          <w:szCs w:val="22"/>
          <w:vertAlign w:val="superscript"/>
        </w:rPr>
        <w:t>3</w:t>
      </w:r>
      <w:r w:rsidR="00183E4A">
        <w:rPr>
          <w:sz w:val="22"/>
          <w:szCs w:val="22"/>
          <w:vertAlign w:val="superscript"/>
        </w:rPr>
        <w:t xml:space="preserve"> </w:t>
      </w:r>
      <w:r w:rsidR="000F29D7" w:rsidRPr="000F29D7">
        <w:rPr>
          <w:sz w:val="22"/>
          <w:szCs w:val="22"/>
        </w:rPr>
        <w:t>a 0,0</w:t>
      </w:r>
      <w:r w:rsidR="00183E4A">
        <w:rPr>
          <w:sz w:val="22"/>
          <w:szCs w:val="22"/>
        </w:rPr>
        <w:t>0</w:t>
      </w:r>
      <w:r w:rsidR="000F29D7" w:rsidRPr="000F29D7">
        <w:rPr>
          <w:sz w:val="22"/>
          <w:szCs w:val="22"/>
        </w:rPr>
        <w:t>2</w:t>
      </w:r>
      <w:r w:rsidR="00183E4A">
        <w:rPr>
          <w:sz w:val="22"/>
          <w:szCs w:val="22"/>
        </w:rPr>
        <w:t xml:space="preserve"> </w:t>
      </w:r>
      <w:r w:rsidR="00183E4A" w:rsidRPr="000F29D7">
        <w:rPr>
          <w:rFonts w:ascii="Symbol" w:hAnsi="Symbol"/>
          <w:sz w:val="22"/>
          <w:szCs w:val="22"/>
        </w:rPr>
        <w:t></w:t>
      </w:r>
      <w:r w:rsidR="00183E4A" w:rsidRPr="000F29D7">
        <w:rPr>
          <w:sz w:val="22"/>
          <w:szCs w:val="22"/>
        </w:rPr>
        <w:t>m</w:t>
      </w:r>
      <w:r w:rsidR="00183E4A" w:rsidRPr="000F29D7">
        <w:rPr>
          <w:sz w:val="22"/>
          <w:szCs w:val="22"/>
          <w:vertAlign w:val="superscript"/>
        </w:rPr>
        <w:t>3</w:t>
      </w:r>
      <w:r w:rsidR="000F29D7" w:rsidRPr="000F29D7">
        <w:rPr>
          <w:sz w:val="22"/>
          <w:szCs w:val="22"/>
        </w:rPr>
        <w:t>) pode ser suprido pelo chumbo incrustado no raiamento do cano, mesmo que o volume destas incrustações perfaça apenas algumas</w:t>
      </w:r>
      <w:r w:rsidR="000F29D7">
        <w:rPr>
          <w:sz w:val="22"/>
          <w:szCs w:val="22"/>
        </w:rPr>
        <w:t xml:space="preserve"> </w:t>
      </w:r>
      <w:r w:rsidR="000F29D7" w:rsidRPr="000F29D7">
        <w:rPr>
          <w:sz w:val="22"/>
          <w:szCs w:val="22"/>
        </w:rPr>
        <w:t xml:space="preserve">centenas de </w:t>
      </w:r>
      <w:r w:rsidR="000F29D7" w:rsidRPr="000F29D7">
        <w:rPr>
          <w:rFonts w:ascii="Symbol" w:hAnsi="Symbol"/>
          <w:sz w:val="22"/>
          <w:szCs w:val="22"/>
        </w:rPr>
        <w:t></w:t>
      </w:r>
      <w:r w:rsidR="000F29D7" w:rsidRPr="000F29D7">
        <w:rPr>
          <w:sz w:val="22"/>
          <w:szCs w:val="22"/>
        </w:rPr>
        <w:t>m</w:t>
      </w:r>
      <w:r w:rsidR="000F29D7" w:rsidRPr="000F29D7">
        <w:rPr>
          <w:sz w:val="22"/>
          <w:szCs w:val="22"/>
          <w:vertAlign w:val="superscript"/>
        </w:rPr>
        <w:t>3</w:t>
      </w:r>
    </w:p>
    <w:p w:rsidR="0065142A" w:rsidRPr="00C00257" w:rsidRDefault="00800CAD" w:rsidP="0065142A">
      <w:pPr>
        <w:spacing w:line="240" w:lineRule="auto"/>
        <w:rPr>
          <w:sz w:val="22"/>
          <w:szCs w:val="22"/>
          <w:lang w:val="en-US"/>
        </w:rPr>
      </w:pPr>
      <w:r w:rsidRPr="00C00257">
        <w:rPr>
          <w:sz w:val="22"/>
          <w:szCs w:val="22"/>
          <w:lang w:val="en-US"/>
        </w:rPr>
        <w:t>.</w:t>
      </w:r>
    </w:p>
    <w:p w:rsidR="0065142A" w:rsidRPr="00740112" w:rsidRDefault="0065142A" w:rsidP="0065142A">
      <w:pPr>
        <w:pStyle w:val="Nivel1"/>
        <w:spacing w:line="240" w:lineRule="auto"/>
        <w:rPr>
          <w:sz w:val="20"/>
          <w:szCs w:val="22"/>
          <w:lang w:val="en-US"/>
        </w:rPr>
      </w:pPr>
      <w:bookmarkStart w:id="4" w:name="_Toc311228598"/>
      <w:r w:rsidRPr="00740112">
        <w:rPr>
          <w:sz w:val="20"/>
          <w:szCs w:val="22"/>
          <w:lang w:val="en-US"/>
        </w:rPr>
        <w:t>REFERÊNCIAS BIBLIOGRÁFICAS</w:t>
      </w:r>
      <w:bookmarkEnd w:id="4"/>
    </w:p>
    <w:p w:rsidR="00740112" w:rsidRDefault="0065142A" w:rsidP="00740112">
      <w:pPr>
        <w:spacing w:line="240" w:lineRule="auto"/>
        <w:rPr>
          <w:sz w:val="20"/>
          <w:szCs w:val="22"/>
          <w:lang w:val="en-US"/>
        </w:rPr>
      </w:pPr>
      <w:r w:rsidRPr="00740112">
        <w:rPr>
          <w:sz w:val="20"/>
          <w:szCs w:val="22"/>
          <w:lang w:val="en-US"/>
        </w:rPr>
        <w:t>1.</w:t>
      </w:r>
      <w:r w:rsidR="00740112" w:rsidRPr="00740112">
        <w:rPr>
          <w:lang w:val="en-US"/>
        </w:rPr>
        <w:t xml:space="preserve"> </w:t>
      </w:r>
      <w:r w:rsidR="00740112" w:rsidRPr="00740112">
        <w:rPr>
          <w:sz w:val="20"/>
          <w:szCs w:val="22"/>
          <w:lang w:val="en-US"/>
        </w:rPr>
        <w:t>ASTM International. Standard guide</w:t>
      </w:r>
      <w:r w:rsidR="00740112">
        <w:rPr>
          <w:sz w:val="20"/>
          <w:szCs w:val="22"/>
          <w:lang w:val="en-US"/>
        </w:rPr>
        <w:t xml:space="preserve"> </w:t>
      </w:r>
      <w:r w:rsidR="00740112" w:rsidRPr="00740112">
        <w:rPr>
          <w:sz w:val="20"/>
          <w:szCs w:val="22"/>
          <w:lang w:val="en-US"/>
        </w:rPr>
        <w:t>for</w:t>
      </w:r>
      <w:r w:rsidR="00740112">
        <w:rPr>
          <w:sz w:val="20"/>
          <w:szCs w:val="22"/>
          <w:lang w:val="en-US"/>
        </w:rPr>
        <w:t xml:space="preserve"> </w:t>
      </w:r>
      <w:r w:rsidR="00740112" w:rsidRPr="00740112">
        <w:rPr>
          <w:sz w:val="20"/>
          <w:szCs w:val="22"/>
          <w:lang w:val="en-US"/>
        </w:rPr>
        <w:t>gunshot residue analysis by scanning</w:t>
      </w:r>
      <w:r w:rsidR="00740112">
        <w:rPr>
          <w:sz w:val="20"/>
          <w:szCs w:val="22"/>
          <w:lang w:val="en-US"/>
        </w:rPr>
        <w:t xml:space="preserve"> </w:t>
      </w:r>
      <w:r w:rsidR="00740112" w:rsidRPr="00740112">
        <w:rPr>
          <w:sz w:val="20"/>
          <w:szCs w:val="22"/>
          <w:lang w:val="en-US"/>
        </w:rPr>
        <w:t>electron microscopy/energy-dispersive spectrometry, ASTM s</w:t>
      </w:r>
      <w:r w:rsidR="00740112">
        <w:rPr>
          <w:sz w:val="20"/>
          <w:szCs w:val="22"/>
          <w:lang w:val="en-US"/>
        </w:rPr>
        <w:t>tandards, designation E 1588-10.</w:t>
      </w:r>
      <w:r w:rsidR="00F84C95">
        <w:rPr>
          <w:sz w:val="20"/>
          <w:szCs w:val="22"/>
          <w:lang w:val="en-US"/>
        </w:rPr>
        <w:t xml:space="preserve"> </w:t>
      </w:r>
      <w:r w:rsidR="00740112">
        <w:rPr>
          <w:sz w:val="20"/>
          <w:szCs w:val="22"/>
          <w:lang w:val="en-US"/>
        </w:rPr>
        <w:t>W</w:t>
      </w:r>
      <w:r w:rsidR="00F84C95">
        <w:rPr>
          <w:sz w:val="20"/>
          <w:szCs w:val="22"/>
          <w:lang w:val="en-US"/>
        </w:rPr>
        <w:t>est Cons</w:t>
      </w:r>
      <w:r w:rsidR="00740112" w:rsidRPr="00740112">
        <w:rPr>
          <w:sz w:val="20"/>
          <w:szCs w:val="22"/>
          <w:lang w:val="en-US"/>
        </w:rPr>
        <w:t>hocken, PA: ASTM International, 2010.</w:t>
      </w:r>
      <w:r w:rsidRPr="00740112">
        <w:rPr>
          <w:sz w:val="20"/>
          <w:szCs w:val="22"/>
          <w:lang w:val="en-US"/>
        </w:rPr>
        <w:t xml:space="preserve"> </w:t>
      </w:r>
    </w:p>
    <w:p w:rsidR="00754CBE" w:rsidRDefault="00740112" w:rsidP="00740112">
      <w:pPr>
        <w:spacing w:line="240" w:lineRule="auto"/>
        <w:rPr>
          <w:bCs/>
          <w:sz w:val="20"/>
          <w:szCs w:val="22"/>
          <w:lang w:val="en-US"/>
        </w:rPr>
      </w:pPr>
      <w:r>
        <w:rPr>
          <w:bCs/>
          <w:sz w:val="20"/>
          <w:szCs w:val="22"/>
          <w:lang w:val="en-US"/>
        </w:rPr>
        <w:t xml:space="preserve">2. </w:t>
      </w:r>
      <w:r w:rsidRPr="00740112">
        <w:rPr>
          <w:bCs/>
          <w:sz w:val="20"/>
          <w:szCs w:val="22"/>
          <w:lang w:val="en-US"/>
        </w:rPr>
        <w:t>Martiny, A., Campos, A.P.C., Sader, M.S., Pinto, A.L.; SEM/EDS analysis and characterization of gunshot residues from Brazilian lead-free ammunition, Forensic Sci. Int.,2008, 177, e9.</w:t>
      </w:r>
    </w:p>
    <w:p w:rsidR="00D20947" w:rsidRPr="00F84C95" w:rsidRDefault="00D20947" w:rsidP="00D20947">
      <w:pPr>
        <w:spacing w:line="240" w:lineRule="auto"/>
        <w:rPr>
          <w:bCs/>
          <w:sz w:val="20"/>
          <w:szCs w:val="22"/>
          <w:lang w:val="en-US"/>
        </w:rPr>
      </w:pPr>
      <w:r>
        <w:rPr>
          <w:bCs/>
          <w:sz w:val="20"/>
          <w:szCs w:val="22"/>
          <w:lang w:val="en-US"/>
        </w:rPr>
        <w:t>3</w:t>
      </w:r>
      <w:r w:rsidRPr="00F84C95">
        <w:rPr>
          <w:bCs/>
          <w:sz w:val="20"/>
          <w:szCs w:val="22"/>
          <w:lang w:val="en-US"/>
        </w:rPr>
        <w:t>.</w:t>
      </w:r>
      <w:r>
        <w:rPr>
          <w:bCs/>
          <w:sz w:val="20"/>
          <w:szCs w:val="22"/>
          <w:lang w:val="en-US"/>
        </w:rPr>
        <w:t xml:space="preserve"> </w:t>
      </w:r>
      <w:r w:rsidRPr="00F84C95">
        <w:rPr>
          <w:bCs/>
          <w:sz w:val="20"/>
          <w:szCs w:val="22"/>
          <w:lang w:val="en-US"/>
        </w:rPr>
        <w:t>Basu, S.; Formation of Gunshot Residues; J. Forensic Sci.,1982, 27, 72.</w:t>
      </w:r>
    </w:p>
    <w:p w:rsidR="00740112" w:rsidRDefault="00D20947" w:rsidP="00740112">
      <w:pPr>
        <w:spacing w:line="240" w:lineRule="auto"/>
        <w:rPr>
          <w:bCs/>
          <w:sz w:val="20"/>
          <w:szCs w:val="22"/>
        </w:rPr>
      </w:pPr>
      <w:r>
        <w:rPr>
          <w:bCs/>
          <w:sz w:val="20"/>
          <w:szCs w:val="22"/>
        </w:rPr>
        <w:t>4</w:t>
      </w:r>
      <w:r w:rsidR="00740112" w:rsidRPr="00740112">
        <w:rPr>
          <w:bCs/>
          <w:sz w:val="20"/>
          <w:szCs w:val="22"/>
        </w:rPr>
        <w:t>.Va</w:t>
      </w:r>
      <w:r w:rsidR="000F29D7">
        <w:rPr>
          <w:bCs/>
          <w:sz w:val="20"/>
          <w:szCs w:val="22"/>
        </w:rPr>
        <w:t>s</w:t>
      </w:r>
      <w:r w:rsidR="00740112" w:rsidRPr="00740112">
        <w:rPr>
          <w:bCs/>
          <w:sz w:val="20"/>
          <w:szCs w:val="22"/>
        </w:rPr>
        <w:t>concellos, M.A.Z,.Hinrichs, R., Gasparoni, C., Frank, P.</w:t>
      </w:r>
      <w:r w:rsidR="0025160A">
        <w:rPr>
          <w:bCs/>
          <w:sz w:val="20"/>
          <w:szCs w:val="22"/>
        </w:rPr>
        <w:t>R.</w:t>
      </w:r>
      <w:r w:rsidR="00740112" w:rsidRPr="00740112">
        <w:rPr>
          <w:bCs/>
          <w:sz w:val="20"/>
          <w:szCs w:val="22"/>
        </w:rPr>
        <w:t>O.; Comparação de resíduos de disparo de munição convencional e ecológica por mapeamento elementar e determinação de fases por difração de raios X. XII Congresso Nacional de Criminalística</w:t>
      </w:r>
      <w:r w:rsidR="00F84C95">
        <w:rPr>
          <w:bCs/>
          <w:sz w:val="20"/>
          <w:szCs w:val="22"/>
        </w:rPr>
        <w:t xml:space="preserve"> </w:t>
      </w:r>
      <w:r w:rsidR="00740112" w:rsidRPr="00740112">
        <w:rPr>
          <w:bCs/>
          <w:sz w:val="20"/>
          <w:szCs w:val="22"/>
        </w:rPr>
        <w:t>Brasilia: ABC, 2013, 1, 40.</w:t>
      </w:r>
    </w:p>
    <w:p w:rsidR="00740112" w:rsidRPr="00D20947" w:rsidRDefault="00740112" w:rsidP="00740112">
      <w:pPr>
        <w:spacing w:line="240" w:lineRule="auto"/>
        <w:rPr>
          <w:sz w:val="20"/>
          <w:szCs w:val="22"/>
        </w:rPr>
      </w:pPr>
    </w:p>
    <w:sectPr w:rsidR="00740112" w:rsidRPr="00D20947" w:rsidSect="005A690E">
      <w:headerReference w:type="default" r:id="rId12"/>
      <w:footerReference w:type="default" r:id="rId13"/>
      <w:pgSz w:w="11906" w:h="16838" w:code="9"/>
      <w:pgMar w:top="1134" w:right="1134" w:bottom="1134"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644" w:rsidRDefault="00D30644" w:rsidP="003752F7">
      <w:pPr>
        <w:spacing w:line="240" w:lineRule="auto"/>
      </w:pPr>
      <w:r>
        <w:separator/>
      </w:r>
    </w:p>
  </w:endnote>
  <w:endnote w:type="continuationSeparator" w:id="1">
    <w:p w:rsidR="00D30644" w:rsidRDefault="00D30644" w:rsidP="003752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94225"/>
      <w:docPartObj>
        <w:docPartGallery w:val="Page Numbers (Bottom of Page)"/>
        <w:docPartUnique/>
      </w:docPartObj>
    </w:sdtPr>
    <w:sdtEndPr>
      <w:rPr>
        <w:sz w:val="20"/>
        <w:szCs w:val="20"/>
      </w:rPr>
    </w:sdtEndPr>
    <w:sdtContent>
      <w:p w:rsidR="00DF5A16" w:rsidRPr="003752F7" w:rsidRDefault="000F6FF3">
        <w:pPr>
          <w:pStyle w:val="Rodap"/>
          <w:jc w:val="right"/>
          <w:rPr>
            <w:sz w:val="20"/>
            <w:szCs w:val="20"/>
          </w:rPr>
        </w:pPr>
        <w:r w:rsidRPr="003752F7">
          <w:rPr>
            <w:sz w:val="20"/>
            <w:szCs w:val="20"/>
          </w:rPr>
          <w:fldChar w:fldCharType="begin"/>
        </w:r>
        <w:r w:rsidR="00DF5A16" w:rsidRPr="003752F7">
          <w:rPr>
            <w:sz w:val="20"/>
            <w:szCs w:val="20"/>
          </w:rPr>
          <w:instrText xml:space="preserve"> PAGE   \* MERGEFORMAT </w:instrText>
        </w:r>
        <w:r w:rsidRPr="003752F7">
          <w:rPr>
            <w:sz w:val="20"/>
            <w:szCs w:val="20"/>
          </w:rPr>
          <w:fldChar w:fldCharType="separate"/>
        </w:r>
        <w:r w:rsidR="00932A99">
          <w:rPr>
            <w:noProof/>
            <w:sz w:val="20"/>
            <w:szCs w:val="20"/>
          </w:rPr>
          <w:t>2</w:t>
        </w:r>
        <w:r w:rsidRPr="003752F7">
          <w:rPr>
            <w:sz w:val="20"/>
            <w:szCs w:val="20"/>
          </w:rPr>
          <w:fldChar w:fldCharType="end"/>
        </w:r>
      </w:p>
    </w:sdtContent>
  </w:sdt>
  <w:p w:rsidR="00DF5A16" w:rsidRDefault="00DF5A1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644" w:rsidRDefault="00D30644" w:rsidP="003752F7">
      <w:pPr>
        <w:spacing w:line="240" w:lineRule="auto"/>
      </w:pPr>
      <w:r>
        <w:separator/>
      </w:r>
    </w:p>
  </w:footnote>
  <w:footnote w:type="continuationSeparator" w:id="1">
    <w:p w:rsidR="00D30644" w:rsidRDefault="00D30644" w:rsidP="003752F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A16" w:rsidRDefault="00DF5A16" w:rsidP="003037F9">
    <w:pPr>
      <w:pStyle w:val="Cabealho"/>
      <w:jc w:val="center"/>
      <w:rPr>
        <w:bCs/>
        <w:sz w:val="22"/>
        <w:szCs w:val="22"/>
      </w:rPr>
    </w:pPr>
    <w:r w:rsidRPr="002F7B50">
      <w:rPr>
        <w:bCs/>
        <w:sz w:val="22"/>
        <w:szCs w:val="22"/>
      </w:rPr>
      <w:t>XXIV Congresso Nacional de Criminalística, VII Congresso Inte</w:t>
    </w:r>
    <w:r>
      <w:rPr>
        <w:bCs/>
        <w:sz w:val="22"/>
        <w:szCs w:val="22"/>
      </w:rPr>
      <w:t>rnacional de Perícia Criminal e</w:t>
    </w:r>
  </w:p>
  <w:p w:rsidR="00DF5A16" w:rsidRPr="0056168D" w:rsidRDefault="00DF5A16" w:rsidP="003037F9">
    <w:pPr>
      <w:pStyle w:val="Cabealho"/>
      <w:jc w:val="center"/>
      <w:rPr>
        <w:bCs/>
        <w:sz w:val="22"/>
        <w:szCs w:val="22"/>
      </w:rPr>
    </w:pPr>
    <w:r w:rsidRPr="002F7B50">
      <w:rPr>
        <w:bCs/>
        <w:sz w:val="22"/>
        <w:szCs w:val="22"/>
      </w:rPr>
      <w:t>XXIV Exposição de Tecnologias Aplicadas à Criminalística</w:t>
    </w:r>
  </w:p>
  <w:p w:rsidR="00DF5A16" w:rsidRDefault="00DF5A16" w:rsidP="003037F9">
    <w:pPr>
      <w:pStyle w:val="Cabealho"/>
      <w:jc w:val="center"/>
      <w:rPr>
        <w:bCs/>
        <w:i/>
        <w:sz w:val="20"/>
        <w:szCs w:val="20"/>
      </w:rPr>
    </w:pPr>
    <w:r w:rsidRPr="002F7B50">
      <w:rPr>
        <w:bCs/>
        <w:i/>
        <w:sz w:val="20"/>
        <w:szCs w:val="20"/>
      </w:rPr>
      <w:t>Florianópolis-SC, 02 a 06 de outubro de 2017</w:t>
    </w:r>
    <w:r w:rsidRPr="006762AA">
      <w:rPr>
        <w:bCs/>
        <w:i/>
        <w:sz w:val="20"/>
        <w:szCs w:val="20"/>
      </w:rPr>
      <w:t>.</w:t>
    </w:r>
  </w:p>
  <w:p w:rsidR="00DF5A16" w:rsidRPr="006762AA" w:rsidRDefault="00DF5A16" w:rsidP="003037F9">
    <w:pPr>
      <w:pStyle w:val="Cabealho"/>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9394"/>
  </w:hdrShapeDefaults>
  <w:footnotePr>
    <w:footnote w:id="0"/>
    <w:footnote w:id="1"/>
  </w:footnotePr>
  <w:endnotePr>
    <w:endnote w:id="0"/>
    <w:endnote w:id="1"/>
  </w:endnotePr>
  <w:compat/>
  <w:rsids>
    <w:rsidRoot w:val="00690E86"/>
    <w:rsid w:val="000050E6"/>
    <w:rsid w:val="00007771"/>
    <w:rsid w:val="000110B8"/>
    <w:rsid w:val="000141D6"/>
    <w:rsid w:val="00014DC9"/>
    <w:rsid w:val="00026BC8"/>
    <w:rsid w:val="00042E0A"/>
    <w:rsid w:val="00043C0D"/>
    <w:rsid w:val="00051A3B"/>
    <w:rsid w:val="00053737"/>
    <w:rsid w:val="00053FCD"/>
    <w:rsid w:val="000608AE"/>
    <w:rsid w:val="00080175"/>
    <w:rsid w:val="00090BA6"/>
    <w:rsid w:val="000B31BB"/>
    <w:rsid w:val="000B38F5"/>
    <w:rsid w:val="000B5F72"/>
    <w:rsid w:val="000C4DCB"/>
    <w:rsid w:val="000C67DF"/>
    <w:rsid w:val="000C6C07"/>
    <w:rsid w:val="000D64F7"/>
    <w:rsid w:val="000E490F"/>
    <w:rsid w:val="000E62DA"/>
    <w:rsid w:val="000F29D7"/>
    <w:rsid w:val="000F6FF3"/>
    <w:rsid w:val="001052AA"/>
    <w:rsid w:val="00115C7E"/>
    <w:rsid w:val="0012394C"/>
    <w:rsid w:val="00123D94"/>
    <w:rsid w:val="001451DD"/>
    <w:rsid w:val="0015364A"/>
    <w:rsid w:val="00167EE0"/>
    <w:rsid w:val="0018033F"/>
    <w:rsid w:val="00183E4A"/>
    <w:rsid w:val="001847FE"/>
    <w:rsid w:val="00196018"/>
    <w:rsid w:val="001978D2"/>
    <w:rsid w:val="001A2428"/>
    <w:rsid w:val="001A35F9"/>
    <w:rsid w:val="001A3F23"/>
    <w:rsid w:val="001A5588"/>
    <w:rsid w:val="001A715A"/>
    <w:rsid w:val="001B1556"/>
    <w:rsid w:val="001B3C69"/>
    <w:rsid w:val="001D2633"/>
    <w:rsid w:val="001D7643"/>
    <w:rsid w:val="001E1232"/>
    <w:rsid w:val="001E221F"/>
    <w:rsid w:val="001F5735"/>
    <w:rsid w:val="001F7452"/>
    <w:rsid w:val="00244839"/>
    <w:rsid w:val="00247455"/>
    <w:rsid w:val="0025160A"/>
    <w:rsid w:val="00251C8D"/>
    <w:rsid w:val="00256A86"/>
    <w:rsid w:val="00262CE0"/>
    <w:rsid w:val="00272C6D"/>
    <w:rsid w:val="00273933"/>
    <w:rsid w:val="00281DFF"/>
    <w:rsid w:val="00293268"/>
    <w:rsid w:val="00293989"/>
    <w:rsid w:val="002A1F55"/>
    <w:rsid w:val="002C1772"/>
    <w:rsid w:val="002C1DE6"/>
    <w:rsid w:val="002F7B50"/>
    <w:rsid w:val="003037F9"/>
    <w:rsid w:val="003212D0"/>
    <w:rsid w:val="0032165A"/>
    <w:rsid w:val="00334F29"/>
    <w:rsid w:val="0034706C"/>
    <w:rsid w:val="00353468"/>
    <w:rsid w:val="00357D88"/>
    <w:rsid w:val="00372A5D"/>
    <w:rsid w:val="003752F7"/>
    <w:rsid w:val="0037704B"/>
    <w:rsid w:val="0037720B"/>
    <w:rsid w:val="0038121C"/>
    <w:rsid w:val="00382120"/>
    <w:rsid w:val="003928AB"/>
    <w:rsid w:val="003B04B0"/>
    <w:rsid w:val="003D455E"/>
    <w:rsid w:val="003E761E"/>
    <w:rsid w:val="003F0931"/>
    <w:rsid w:val="003F6A7C"/>
    <w:rsid w:val="00423161"/>
    <w:rsid w:val="00425FB9"/>
    <w:rsid w:val="004264DD"/>
    <w:rsid w:val="00442AB9"/>
    <w:rsid w:val="00460049"/>
    <w:rsid w:val="004600AE"/>
    <w:rsid w:val="00460CF2"/>
    <w:rsid w:val="00473BD3"/>
    <w:rsid w:val="00474F95"/>
    <w:rsid w:val="00486A9E"/>
    <w:rsid w:val="00491EA9"/>
    <w:rsid w:val="004A1F23"/>
    <w:rsid w:val="004B1A67"/>
    <w:rsid w:val="004D63F0"/>
    <w:rsid w:val="004D6CE8"/>
    <w:rsid w:val="004D7262"/>
    <w:rsid w:val="004E1122"/>
    <w:rsid w:val="004F21E1"/>
    <w:rsid w:val="004F53BA"/>
    <w:rsid w:val="0051281F"/>
    <w:rsid w:val="00514489"/>
    <w:rsid w:val="00516CB0"/>
    <w:rsid w:val="005342A4"/>
    <w:rsid w:val="00535C25"/>
    <w:rsid w:val="005404A0"/>
    <w:rsid w:val="00541B84"/>
    <w:rsid w:val="00541C6C"/>
    <w:rsid w:val="00543A8C"/>
    <w:rsid w:val="0055601A"/>
    <w:rsid w:val="0056168D"/>
    <w:rsid w:val="00567BA9"/>
    <w:rsid w:val="00571EAF"/>
    <w:rsid w:val="0057510C"/>
    <w:rsid w:val="00590D73"/>
    <w:rsid w:val="0059109E"/>
    <w:rsid w:val="00595933"/>
    <w:rsid w:val="00596AD6"/>
    <w:rsid w:val="005A5F31"/>
    <w:rsid w:val="005A690E"/>
    <w:rsid w:val="005A71F4"/>
    <w:rsid w:val="005B6216"/>
    <w:rsid w:val="005D3B1F"/>
    <w:rsid w:val="005E0339"/>
    <w:rsid w:val="005E75EF"/>
    <w:rsid w:val="005F4BF1"/>
    <w:rsid w:val="006028E9"/>
    <w:rsid w:val="006044B2"/>
    <w:rsid w:val="00606784"/>
    <w:rsid w:val="006347BF"/>
    <w:rsid w:val="006378FF"/>
    <w:rsid w:val="00647C59"/>
    <w:rsid w:val="0065142A"/>
    <w:rsid w:val="00672251"/>
    <w:rsid w:val="006762AA"/>
    <w:rsid w:val="00677924"/>
    <w:rsid w:val="00690E86"/>
    <w:rsid w:val="006947F5"/>
    <w:rsid w:val="00696F59"/>
    <w:rsid w:val="006A774A"/>
    <w:rsid w:val="006B0091"/>
    <w:rsid w:val="006B00A7"/>
    <w:rsid w:val="006B0CC4"/>
    <w:rsid w:val="006B17A2"/>
    <w:rsid w:val="006C74E3"/>
    <w:rsid w:val="006D18B3"/>
    <w:rsid w:val="006D26FC"/>
    <w:rsid w:val="006D4BC8"/>
    <w:rsid w:val="006E3323"/>
    <w:rsid w:val="006E33F4"/>
    <w:rsid w:val="006E4FEA"/>
    <w:rsid w:val="006F43BE"/>
    <w:rsid w:val="00704CD3"/>
    <w:rsid w:val="007148BD"/>
    <w:rsid w:val="00733C52"/>
    <w:rsid w:val="00734E3C"/>
    <w:rsid w:val="00740112"/>
    <w:rsid w:val="00746985"/>
    <w:rsid w:val="00754CBE"/>
    <w:rsid w:val="00755A52"/>
    <w:rsid w:val="0078302E"/>
    <w:rsid w:val="00784AD1"/>
    <w:rsid w:val="0079623C"/>
    <w:rsid w:val="007A109C"/>
    <w:rsid w:val="007C522E"/>
    <w:rsid w:val="007D0DBB"/>
    <w:rsid w:val="007E2E1A"/>
    <w:rsid w:val="00800CAD"/>
    <w:rsid w:val="0080108D"/>
    <w:rsid w:val="008039FA"/>
    <w:rsid w:val="00804B34"/>
    <w:rsid w:val="00811620"/>
    <w:rsid w:val="00813F18"/>
    <w:rsid w:val="00817160"/>
    <w:rsid w:val="00821CAD"/>
    <w:rsid w:val="00824730"/>
    <w:rsid w:val="00832F16"/>
    <w:rsid w:val="008572CF"/>
    <w:rsid w:val="00857E91"/>
    <w:rsid w:val="00860EDC"/>
    <w:rsid w:val="00883480"/>
    <w:rsid w:val="008949B2"/>
    <w:rsid w:val="008B5B05"/>
    <w:rsid w:val="008D7AB4"/>
    <w:rsid w:val="008E2991"/>
    <w:rsid w:val="00910D22"/>
    <w:rsid w:val="009217B6"/>
    <w:rsid w:val="00932A99"/>
    <w:rsid w:val="00941837"/>
    <w:rsid w:val="00950EFD"/>
    <w:rsid w:val="00973188"/>
    <w:rsid w:val="00987E5E"/>
    <w:rsid w:val="009A202B"/>
    <w:rsid w:val="009A5F55"/>
    <w:rsid w:val="009C3761"/>
    <w:rsid w:val="009C4AC1"/>
    <w:rsid w:val="009E0435"/>
    <w:rsid w:val="009E4343"/>
    <w:rsid w:val="009E4AE7"/>
    <w:rsid w:val="009F3B49"/>
    <w:rsid w:val="009F4702"/>
    <w:rsid w:val="009F60BF"/>
    <w:rsid w:val="00A01324"/>
    <w:rsid w:val="00A049AE"/>
    <w:rsid w:val="00A30721"/>
    <w:rsid w:val="00A37102"/>
    <w:rsid w:val="00A51761"/>
    <w:rsid w:val="00A5398B"/>
    <w:rsid w:val="00A6702D"/>
    <w:rsid w:val="00A81023"/>
    <w:rsid w:val="00A9079D"/>
    <w:rsid w:val="00A9585D"/>
    <w:rsid w:val="00AC7CDB"/>
    <w:rsid w:val="00AE4966"/>
    <w:rsid w:val="00AE583C"/>
    <w:rsid w:val="00AF0BDD"/>
    <w:rsid w:val="00B00282"/>
    <w:rsid w:val="00B008DD"/>
    <w:rsid w:val="00B21E36"/>
    <w:rsid w:val="00B2671D"/>
    <w:rsid w:val="00B30B26"/>
    <w:rsid w:val="00B32F1D"/>
    <w:rsid w:val="00B33D8A"/>
    <w:rsid w:val="00B462A0"/>
    <w:rsid w:val="00B50074"/>
    <w:rsid w:val="00B702A7"/>
    <w:rsid w:val="00B81B4D"/>
    <w:rsid w:val="00BA23C0"/>
    <w:rsid w:val="00BA44CE"/>
    <w:rsid w:val="00BD2918"/>
    <w:rsid w:val="00BF6353"/>
    <w:rsid w:val="00C00257"/>
    <w:rsid w:val="00C11825"/>
    <w:rsid w:val="00C1748C"/>
    <w:rsid w:val="00C26C44"/>
    <w:rsid w:val="00C30F8C"/>
    <w:rsid w:val="00C416AE"/>
    <w:rsid w:val="00C630D3"/>
    <w:rsid w:val="00C86D3A"/>
    <w:rsid w:val="00C92FC6"/>
    <w:rsid w:val="00C92FFA"/>
    <w:rsid w:val="00CA7450"/>
    <w:rsid w:val="00CC0AEB"/>
    <w:rsid w:val="00CC6B7D"/>
    <w:rsid w:val="00CC7593"/>
    <w:rsid w:val="00CE4C43"/>
    <w:rsid w:val="00CE6D58"/>
    <w:rsid w:val="00CF0B20"/>
    <w:rsid w:val="00CF3290"/>
    <w:rsid w:val="00CF5D2A"/>
    <w:rsid w:val="00D026FA"/>
    <w:rsid w:val="00D03AB2"/>
    <w:rsid w:val="00D07C04"/>
    <w:rsid w:val="00D20947"/>
    <w:rsid w:val="00D30644"/>
    <w:rsid w:val="00D31E9E"/>
    <w:rsid w:val="00D348C0"/>
    <w:rsid w:val="00D55EBC"/>
    <w:rsid w:val="00D6094C"/>
    <w:rsid w:val="00D66DB9"/>
    <w:rsid w:val="00D7559F"/>
    <w:rsid w:val="00D83186"/>
    <w:rsid w:val="00D85888"/>
    <w:rsid w:val="00DB64DF"/>
    <w:rsid w:val="00DC0E24"/>
    <w:rsid w:val="00DD690F"/>
    <w:rsid w:val="00DE2ADD"/>
    <w:rsid w:val="00DF5A16"/>
    <w:rsid w:val="00DF7C5F"/>
    <w:rsid w:val="00E30AA9"/>
    <w:rsid w:val="00E573A1"/>
    <w:rsid w:val="00E65FFC"/>
    <w:rsid w:val="00E97951"/>
    <w:rsid w:val="00E979DF"/>
    <w:rsid w:val="00EA3AA3"/>
    <w:rsid w:val="00EA47BE"/>
    <w:rsid w:val="00EA4AD4"/>
    <w:rsid w:val="00EC6C1D"/>
    <w:rsid w:val="00EE266E"/>
    <w:rsid w:val="00EE368D"/>
    <w:rsid w:val="00EE70EE"/>
    <w:rsid w:val="00F10ED3"/>
    <w:rsid w:val="00F11B6C"/>
    <w:rsid w:val="00F15E18"/>
    <w:rsid w:val="00F22F39"/>
    <w:rsid w:val="00F363E3"/>
    <w:rsid w:val="00F42EBD"/>
    <w:rsid w:val="00F50A50"/>
    <w:rsid w:val="00F525A4"/>
    <w:rsid w:val="00F6162F"/>
    <w:rsid w:val="00F80A2A"/>
    <w:rsid w:val="00F84C95"/>
    <w:rsid w:val="00F90DCE"/>
    <w:rsid w:val="00FB34C0"/>
    <w:rsid w:val="00FB6D6C"/>
    <w:rsid w:val="00FC2E7B"/>
    <w:rsid w:val="00FC3308"/>
    <w:rsid w:val="00FC71F5"/>
    <w:rsid w:val="00FD150A"/>
    <w:rsid w:val="00FE0FA3"/>
    <w:rsid w:val="00FE594F"/>
    <w:rsid w:val="00FF2189"/>
    <w:rsid w:val="00FF330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table" w:styleId="Tabelacomgrade">
    <w:name w:val="Table Grid"/>
    <w:basedOn w:val="Tabelanormal"/>
    <w:uiPriority w:val="59"/>
    <w:rsid w:val="005404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qFormat/>
    <w:rsid w:val="00754CBE"/>
    <w:pPr>
      <w:suppressLineNumbers/>
      <w:suppressAutoHyphens/>
      <w:spacing w:beforeLines="60" w:after="480" w:line="300" w:lineRule="exact"/>
    </w:pPr>
    <w:rPr>
      <w:rFonts w:cs="Mangal"/>
      <w:iCs/>
    </w:rPr>
  </w:style>
  <w:style w:type="character" w:styleId="Nmerodelinha">
    <w:name w:val="line number"/>
    <w:basedOn w:val="Fontepargpadro"/>
    <w:uiPriority w:val="99"/>
    <w:semiHidden/>
    <w:unhideWhenUsed/>
    <w:rsid w:val="005A690E"/>
  </w:style>
</w:styles>
</file>

<file path=word/webSettings.xml><?xml version="1.0" encoding="utf-8"?>
<w:webSettings xmlns:r="http://schemas.openxmlformats.org/officeDocument/2006/relationships" xmlns:w="http://schemas.openxmlformats.org/wordprocessingml/2006/main">
  <w:divs>
    <w:div w:id="1242065755">
      <w:bodyDiv w:val="1"/>
      <w:marLeft w:val="0"/>
      <w:marRight w:val="0"/>
      <w:marTop w:val="0"/>
      <w:marBottom w:val="0"/>
      <w:divBdr>
        <w:top w:val="none" w:sz="0" w:space="0" w:color="auto"/>
        <w:left w:val="none" w:sz="0" w:space="0" w:color="auto"/>
        <w:bottom w:val="none" w:sz="0" w:space="0" w:color="auto"/>
        <w:right w:val="none" w:sz="0" w:space="0" w:color="auto"/>
      </w:divBdr>
    </w:div>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A0585"/>
    <w:rsid w:val="001A0585"/>
    <w:rsid w:val="008834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BC46692EA794796858FBB69B51CB979">
    <w:name w:val="1BC46692EA794796858FBB69B51CB979"/>
    <w:rsid w:val="001A05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29E2C-FF77-4F68-937B-24187E97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1184</Words>
  <Characters>6394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User</cp:lastModifiedBy>
  <cp:revision>4</cp:revision>
  <cp:lastPrinted>2017-06-09T18:51:00Z</cp:lastPrinted>
  <dcterms:created xsi:type="dcterms:W3CDTF">2017-06-12T18:43:00Z</dcterms:created>
  <dcterms:modified xsi:type="dcterms:W3CDTF">2017-06-12T19:20:00Z</dcterms:modified>
</cp:coreProperties>
</file>