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12B36" w14:textId="29F5616F" w:rsidR="00196018" w:rsidRPr="00857629" w:rsidRDefault="00007E0C" w:rsidP="00824730">
      <w:pPr>
        <w:spacing w:line="240" w:lineRule="auto"/>
        <w:jc w:val="center"/>
        <w:rPr>
          <w:b/>
        </w:rPr>
      </w:pPr>
      <w:r w:rsidRPr="00857629">
        <w:rPr>
          <w:b/>
        </w:rPr>
        <w:t>Re</w:t>
      </w:r>
      <w:r w:rsidR="000F7E3B" w:rsidRPr="00857629">
        <w:rPr>
          <w:b/>
        </w:rPr>
        <w:t>stauração</w:t>
      </w:r>
      <w:r w:rsidRPr="00857629">
        <w:rPr>
          <w:b/>
        </w:rPr>
        <w:t xml:space="preserve"> de Marcações Adulteradas em</w:t>
      </w:r>
      <w:r w:rsidR="00B758D3">
        <w:rPr>
          <w:b/>
        </w:rPr>
        <w:t xml:space="preserve"> Chapas Extraídas de Chassi </w:t>
      </w:r>
      <w:r w:rsidRPr="00857629">
        <w:rPr>
          <w:b/>
        </w:rPr>
        <w:t xml:space="preserve">por Visualização Magneto-Óptica e Ataque Químico </w:t>
      </w:r>
    </w:p>
    <w:p w14:paraId="28437D5A" w14:textId="77777777" w:rsidR="00595933" w:rsidRPr="00857629" w:rsidRDefault="00595933" w:rsidP="00824730">
      <w:pPr>
        <w:spacing w:line="240" w:lineRule="auto"/>
        <w:jc w:val="left"/>
      </w:pPr>
    </w:p>
    <w:p w14:paraId="5585CA1F" w14:textId="77777777" w:rsidR="006B0CC4" w:rsidRPr="00857629" w:rsidRDefault="006B0CC4" w:rsidP="00824730">
      <w:pPr>
        <w:spacing w:line="240" w:lineRule="auto"/>
        <w:jc w:val="center"/>
      </w:pPr>
      <w:bookmarkStart w:id="0" w:name="_GoBack"/>
      <w:bookmarkEnd w:id="0"/>
    </w:p>
    <w:p w14:paraId="08A7F82F" w14:textId="4006DC45" w:rsidR="00540916" w:rsidRPr="00FC4C3F" w:rsidRDefault="00AA51FE" w:rsidP="007155DF">
      <w:pPr>
        <w:spacing w:line="240" w:lineRule="auto"/>
        <w:rPr>
          <w:sz w:val="22"/>
          <w:szCs w:val="22"/>
        </w:rPr>
      </w:pPr>
      <w:r w:rsidRPr="00FC4C3F">
        <w:rPr>
          <w:sz w:val="22"/>
          <w:szCs w:val="22"/>
        </w:rPr>
        <w:t xml:space="preserve">Um problema de comum ocorrência na perícia forense é a restauração de </w:t>
      </w:r>
      <w:r w:rsidR="00F83BB0" w:rsidRPr="00FC4C3F">
        <w:rPr>
          <w:sz w:val="22"/>
          <w:szCs w:val="22"/>
        </w:rPr>
        <w:t>códigos originais de identificação veicular. Qua</w:t>
      </w:r>
      <w:r w:rsidR="00264074" w:rsidRPr="00FC4C3F">
        <w:rPr>
          <w:sz w:val="22"/>
          <w:szCs w:val="22"/>
        </w:rPr>
        <w:t>ndo um veículo é o centro da</w:t>
      </w:r>
      <w:r w:rsidR="00F83BB0" w:rsidRPr="00FC4C3F">
        <w:rPr>
          <w:sz w:val="22"/>
          <w:szCs w:val="22"/>
        </w:rPr>
        <w:t xml:space="preserve"> cena d</w:t>
      </w:r>
      <w:r w:rsidR="00264074" w:rsidRPr="00FC4C3F">
        <w:rPr>
          <w:sz w:val="22"/>
          <w:szCs w:val="22"/>
        </w:rPr>
        <w:t xml:space="preserve">e um </w:t>
      </w:r>
      <w:r w:rsidR="00F83BB0" w:rsidRPr="00FC4C3F">
        <w:rPr>
          <w:sz w:val="22"/>
          <w:szCs w:val="22"/>
        </w:rPr>
        <w:t>c</w:t>
      </w:r>
      <w:r w:rsidR="00D37D78" w:rsidRPr="00FC4C3F">
        <w:rPr>
          <w:sz w:val="22"/>
          <w:szCs w:val="22"/>
        </w:rPr>
        <w:t>rime</w:t>
      </w:r>
      <w:r w:rsidR="00264074" w:rsidRPr="00FC4C3F">
        <w:rPr>
          <w:sz w:val="22"/>
          <w:szCs w:val="22"/>
        </w:rPr>
        <w:t>,</w:t>
      </w:r>
      <w:r w:rsidR="00D37D78" w:rsidRPr="00FC4C3F">
        <w:rPr>
          <w:sz w:val="22"/>
          <w:szCs w:val="22"/>
        </w:rPr>
        <w:t xml:space="preserve"> </w:t>
      </w:r>
      <w:r w:rsidR="00264074" w:rsidRPr="00FC4C3F">
        <w:rPr>
          <w:sz w:val="22"/>
          <w:szCs w:val="22"/>
        </w:rPr>
        <w:t xml:space="preserve">a sua identidade, bem como sua origem, será </w:t>
      </w:r>
      <w:r w:rsidR="00E97780" w:rsidRPr="00FC4C3F">
        <w:rPr>
          <w:sz w:val="22"/>
          <w:szCs w:val="22"/>
        </w:rPr>
        <w:t>questionada</w:t>
      </w:r>
      <w:r w:rsidR="008B259B" w:rsidRPr="00FC4C3F">
        <w:rPr>
          <w:sz w:val="22"/>
          <w:szCs w:val="22"/>
        </w:rPr>
        <w:t xml:space="preserve"> por serem fundamentais para a resolução do </w:t>
      </w:r>
      <w:r w:rsidR="00D0592C" w:rsidRPr="00FC4C3F">
        <w:rPr>
          <w:sz w:val="22"/>
          <w:szCs w:val="22"/>
        </w:rPr>
        <w:t>caso</w:t>
      </w:r>
      <w:r w:rsidR="008A56C3" w:rsidRPr="00FC4C3F">
        <w:rPr>
          <w:sz w:val="22"/>
          <w:szCs w:val="22"/>
        </w:rPr>
        <w:t xml:space="preserve"> </w:t>
      </w:r>
      <w:r w:rsidR="008A56C3" w:rsidRPr="00FC4C3F">
        <w:rPr>
          <w:sz w:val="22"/>
          <w:szCs w:val="22"/>
        </w:rPr>
        <w:fldChar w:fldCharType="begin" w:fldLock="1"/>
      </w:r>
      <w:r w:rsidR="0092013E" w:rsidRPr="00FC4C3F">
        <w:rPr>
          <w:sz w:val="22"/>
          <w:szCs w:val="22"/>
        </w:rPr>
        <w:instrText>ADDIN CSL_CITATION { "citationItems" : [ { "id" : "ITEM-1", "itemData" : { "author" : [ { "dropping-particle" : "", "family" : "Strauffer", "given" : "E.", "non-dropping-particle" : "", "parse-names" : false, "suffix" : "" }, { "dropping-particle" : "", "family" : "Bonfanti", "given" : "M.", "non-dropping-particle" : "", "parse-names" : false, "suffix" : "" } ], "container-title" : "Forensic Investigation of Stolen-Recovered and Other Crime Related Vehicles", "id" : "ITEM-1", "issued" : { "date-parts" : [ [ "2006" ] ] }, "note" : "NULL", "page" : "177-207", "title" : "Restoration of Serial Numbers", "type" : "chapter" }, "uris" : [ "http://www.mendeley.com/documents/?uuid=e440c57b-3d1e-49f6-a09d-fd18b8cf7364" ] } ], "mendeley" : { "formattedCitation" : "(1)", "plainTextFormattedCitation" : "(1)", "previouslyFormattedCitation" : "(STRAUFFER; BONFANTI, 2006)" }, "properties" : { "noteIndex" : 0 }, "schema" : "https://github.com/citation-style-language/schema/raw/master/csl-citation.json" }</w:instrText>
      </w:r>
      <w:r w:rsidR="008A56C3" w:rsidRPr="00FC4C3F">
        <w:rPr>
          <w:sz w:val="22"/>
          <w:szCs w:val="22"/>
        </w:rPr>
        <w:fldChar w:fldCharType="separate"/>
      </w:r>
      <w:r w:rsidR="0092013E" w:rsidRPr="00FC4C3F">
        <w:rPr>
          <w:noProof/>
          <w:sz w:val="22"/>
          <w:szCs w:val="22"/>
        </w:rPr>
        <w:t>(1)</w:t>
      </w:r>
      <w:r w:rsidR="008A56C3" w:rsidRPr="00FC4C3F">
        <w:rPr>
          <w:sz w:val="22"/>
          <w:szCs w:val="22"/>
        </w:rPr>
        <w:fldChar w:fldCharType="end"/>
      </w:r>
      <w:r w:rsidR="008B259B" w:rsidRPr="00FC4C3F">
        <w:rPr>
          <w:sz w:val="22"/>
          <w:szCs w:val="22"/>
        </w:rPr>
        <w:t xml:space="preserve">. </w:t>
      </w:r>
      <w:r w:rsidR="00D0592C" w:rsidRPr="00FC4C3F">
        <w:rPr>
          <w:sz w:val="22"/>
          <w:szCs w:val="22"/>
        </w:rPr>
        <w:t>Nesta</w:t>
      </w:r>
      <w:r w:rsidR="00926D11" w:rsidRPr="00FC4C3F">
        <w:rPr>
          <w:sz w:val="22"/>
          <w:szCs w:val="22"/>
        </w:rPr>
        <w:t xml:space="preserve">s </w:t>
      </w:r>
      <w:r w:rsidR="00D0592C" w:rsidRPr="00FC4C3F">
        <w:rPr>
          <w:sz w:val="22"/>
          <w:szCs w:val="22"/>
        </w:rPr>
        <w:t>ocorrências</w:t>
      </w:r>
      <w:r w:rsidR="00926D11" w:rsidRPr="00FC4C3F">
        <w:rPr>
          <w:sz w:val="22"/>
          <w:szCs w:val="22"/>
        </w:rPr>
        <w:t>, a recuperação de marcações originais é de suma importância para os peritos</w:t>
      </w:r>
      <w:r w:rsidR="00EF6EDE" w:rsidRPr="00FC4C3F">
        <w:rPr>
          <w:sz w:val="22"/>
          <w:szCs w:val="22"/>
        </w:rPr>
        <w:t xml:space="preserve"> criminais</w:t>
      </w:r>
      <w:r w:rsidR="00926D11" w:rsidRPr="00FC4C3F">
        <w:rPr>
          <w:sz w:val="22"/>
          <w:szCs w:val="22"/>
        </w:rPr>
        <w:t xml:space="preserve"> uma vez que </w:t>
      </w:r>
      <w:r w:rsidR="00EF6EDE" w:rsidRPr="00FC4C3F">
        <w:rPr>
          <w:sz w:val="22"/>
          <w:szCs w:val="22"/>
        </w:rPr>
        <w:t xml:space="preserve">as organizações criminosas </w:t>
      </w:r>
      <w:r w:rsidR="001152BD" w:rsidRPr="00FC4C3F">
        <w:rPr>
          <w:sz w:val="22"/>
          <w:szCs w:val="22"/>
        </w:rPr>
        <w:t>removem ou alteram</w:t>
      </w:r>
      <w:r w:rsidR="00D37D78" w:rsidRPr="00FC4C3F">
        <w:rPr>
          <w:sz w:val="22"/>
          <w:szCs w:val="22"/>
        </w:rPr>
        <w:t xml:space="preserve"> o</w:t>
      </w:r>
      <w:r w:rsidR="00EF6EDE" w:rsidRPr="00FC4C3F">
        <w:rPr>
          <w:sz w:val="22"/>
          <w:szCs w:val="22"/>
        </w:rPr>
        <w:t xml:space="preserve"> có</w:t>
      </w:r>
      <w:r w:rsidR="00D37D78" w:rsidRPr="00FC4C3F">
        <w:rPr>
          <w:sz w:val="22"/>
          <w:szCs w:val="22"/>
        </w:rPr>
        <w:t>digo em questão</w:t>
      </w:r>
      <w:r w:rsidR="00EF6EDE" w:rsidRPr="00FC4C3F">
        <w:rPr>
          <w:sz w:val="22"/>
          <w:szCs w:val="22"/>
        </w:rPr>
        <w:t xml:space="preserve"> </w:t>
      </w:r>
      <w:r w:rsidR="00F6309E" w:rsidRPr="00FC4C3F">
        <w:rPr>
          <w:sz w:val="22"/>
          <w:szCs w:val="22"/>
        </w:rPr>
        <w:t>para</w:t>
      </w:r>
      <w:r w:rsidR="00EF6EDE" w:rsidRPr="00FC4C3F">
        <w:rPr>
          <w:sz w:val="22"/>
          <w:szCs w:val="22"/>
        </w:rPr>
        <w:t xml:space="preserve"> i</w:t>
      </w:r>
      <w:r w:rsidR="0097088A" w:rsidRPr="00FC4C3F">
        <w:rPr>
          <w:sz w:val="22"/>
          <w:szCs w:val="22"/>
        </w:rPr>
        <w:t xml:space="preserve">mpossibilitar o </w:t>
      </w:r>
      <w:r w:rsidR="005A6BD6" w:rsidRPr="00FC4C3F">
        <w:rPr>
          <w:sz w:val="22"/>
          <w:szCs w:val="22"/>
        </w:rPr>
        <w:t>rastreamento</w:t>
      </w:r>
      <w:r w:rsidR="0097088A" w:rsidRPr="00FC4C3F">
        <w:rPr>
          <w:sz w:val="22"/>
          <w:szCs w:val="22"/>
        </w:rPr>
        <w:t xml:space="preserve"> do veículo</w:t>
      </w:r>
      <w:r w:rsidR="00E17845" w:rsidRPr="00FC4C3F">
        <w:rPr>
          <w:sz w:val="22"/>
          <w:szCs w:val="22"/>
        </w:rPr>
        <w:t xml:space="preserve"> e, m</w:t>
      </w:r>
      <w:r w:rsidR="00F6309E" w:rsidRPr="00FC4C3F">
        <w:rPr>
          <w:sz w:val="22"/>
          <w:szCs w:val="22"/>
        </w:rPr>
        <w:t>uitas vezes, a</w:t>
      </w:r>
      <w:r w:rsidR="00264074" w:rsidRPr="00FC4C3F">
        <w:rPr>
          <w:sz w:val="22"/>
          <w:szCs w:val="22"/>
        </w:rPr>
        <w:t>pós a remoção da</w:t>
      </w:r>
      <w:r w:rsidR="00F6309E" w:rsidRPr="00FC4C3F">
        <w:rPr>
          <w:sz w:val="22"/>
          <w:szCs w:val="22"/>
        </w:rPr>
        <w:t xml:space="preserve"> numeração</w:t>
      </w:r>
      <w:r w:rsidR="00264074" w:rsidRPr="00FC4C3F">
        <w:rPr>
          <w:sz w:val="22"/>
          <w:szCs w:val="22"/>
        </w:rPr>
        <w:t>, um código</w:t>
      </w:r>
      <w:r w:rsidR="00F6309E" w:rsidRPr="00FC4C3F">
        <w:rPr>
          <w:sz w:val="22"/>
          <w:szCs w:val="22"/>
        </w:rPr>
        <w:t xml:space="preserve"> fraudulento é remarcado sobre a superfície, dificultando a percepção visual da adulteração.</w:t>
      </w:r>
    </w:p>
    <w:p w14:paraId="2EE8CC49" w14:textId="06394873" w:rsidR="00E17845" w:rsidRPr="00FC4C3F" w:rsidRDefault="00A26270" w:rsidP="00264074">
      <w:pPr>
        <w:spacing w:line="240" w:lineRule="auto"/>
        <w:rPr>
          <w:sz w:val="22"/>
          <w:szCs w:val="22"/>
        </w:rPr>
      </w:pPr>
      <w:r w:rsidRPr="00FC4C3F">
        <w:rPr>
          <w:sz w:val="22"/>
          <w:szCs w:val="22"/>
        </w:rPr>
        <w:t>Para tal, existem</w:t>
      </w:r>
      <w:r w:rsidR="00264074" w:rsidRPr="00FC4C3F">
        <w:rPr>
          <w:sz w:val="22"/>
          <w:szCs w:val="22"/>
        </w:rPr>
        <w:t>, técnicas específicas, muitas ainda</w:t>
      </w:r>
      <w:r w:rsidR="00B16262" w:rsidRPr="00FC4C3F">
        <w:rPr>
          <w:sz w:val="22"/>
          <w:szCs w:val="22"/>
        </w:rPr>
        <w:t xml:space="preserve"> em desenvolvimento, capazes de </w:t>
      </w:r>
      <w:r w:rsidR="00264074" w:rsidRPr="00FC4C3F">
        <w:rPr>
          <w:sz w:val="22"/>
          <w:szCs w:val="22"/>
        </w:rPr>
        <w:t>não só detectar adulterações como restaurar marcações originais</w:t>
      </w:r>
      <w:r w:rsidR="00E71AF5" w:rsidRPr="00FC4C3F">
        <w:rPr>
          <w:sz w:val="22"/>
          <w:szCs w:val="22"/>
        </w:rPr>
        <w:t>,</w:t>
      </w:r>
      <w:r w:rsidR="00264074" w:rsidRPr="00FC4C3F">
        <w:rPr>
          <w:sz w:val="22"/>
          <w:szCs w:val="22"/>
        </w:rPr>
        <w:t xml:space="preserve"> visualmente </w:t>
      </w:r>
      <w:r w:rsidRPr="00FC4C3F">
        <w:rPr>
          <w:sz w:val="22"/>
          <w:szCs w:val="22"/>
        </w:rPr>
        <w:t>imperceptíveis</w:t>
      </w:r>
      <w:r w:rsidR="00DB65CE" w:rsidRPr="00FC4C3F">
        <w:rPr>
          <w:sz w:val="22"/>
          <w:szCs w:val="22"/>
        </w:rPr>
        <w:t>. A detecção e a restauração dependem de três fatores básicos: o material sobre o qual será realizada a impressão do código original, a</w:t>
      </w:r>
      <w:r w:rsidR="00B160D8" w:rsidRPr="00FC4C3F">
        <w:rPr>
          <w:sz w:val="22"/>
          <w:szCs w:val="22"/>
        </w:rPr>
        <w:t xml:space="preserve"> técnica utilizada para marcação </w:t>
      </w:r>
      <w:r w:rsidR="00DB65CE" w:rsidRPr="00FC4C3F">
        <w:rPr>
          <w:sz w:val="22"/>
          <w:szCs w:val="22"/>
        </w:rPr>
        <w:t>e o método de adulteração.</w:t>
      </w:r>
      <w:r w:rsidR="00C62C9A" w:rsidRPr="00FC4C3F">
        <w:rPr>
          <w:sz w:val="22"/>
          <w:szCs w:val="22"/>
        </w:rPr>
        <w:t xml:space="preserve"> </w:t>
      </w:r>
      <w:r w:rsidR="00E467F5" w:rsidRPr="00E34403">
        <w:rPr>
          <w:sz w:val="22"/>
          <w:szCs w:val="22"/>
        </w:rPr>
        <w:t>Quando</w:t>
      </w:r>
      <w:r w:rsidR="00E467F5" w:rsidRPr="00FC4C3F">
        <w:rPr>
          <w:sz w:val="22"/>
          <w:szCs w:val="22"/>
        </w:rPr>
        <w:t xml:space="preserve"> o material é submetido a um es</w:t>
      </w:r>
      <w:r w:rsidR="001752AA" w:rsidRPr="00FC4C3F">
        <w:rPr>
          <w:sz w:val="22"/>
          <w:szCs w:val="22"/>
        </w:rPr>
        <w:t>forço</w:t>
      </w:r>
      <w:r w:rsidR="00E467F5" w:rsidRPr="00FC4C3F">
        <w:rPr>
          <w:sz w:val="22"/>
          <w:szCs w:val="22"/>
        </w:rPr>
        <w:t xml:space="preserve"> externo, serão produzidas tensões</w:t>
      </w:r>
      <w:r w:rsidR="001752AA" w:rsidRPr="00FC4C3F">
        <w:rPr>
          <w:sz w:val="22"/>
          <w:szCs w:val="22"/>
        </w:rPr>
        <w:t xml:space="preserve"> internas distribuídas </w:t>
      </w:r>
      <w:r w:rsidR="00E467F5" w:rsidRPr="00FC4C3F">
        <w:rPr>
          <w:sz w:val="22"/>
          <w:szCs w:val="22"/>
        </w:rPr>
        <w:t>em seu</w:t>
      </w:r>
      <w:r w:rsidR="001752AA" w:rsidRPr="00FC4C3F">
        <w:rPr>
          <w:sz w:val="22"/>
          <w:szCs w:val="22"/>
        </w:rPr>
        <w:t xml:space="preserve"> arranjo atômico. D</w:t>
      </w:r>
      <w:r w:rsidR="00E467F5" w:rsidRPr="00FC4C3F">
        <w:rPr>
          <w:sz w:val="22"/>
          <w:szCs w:val="22"/>
        </w:rPr>
        <w:t>ependendo das</w:t>
      </w:r>
      <w:r w:rsidR="001752AA" w:rsidRPr="00FC4C3F">
        <w:rPr>
          <w:sz w:val="22"/>
          <w:szCs w:val="22"/>
        </w:rPr>
        <w:t xml:space="preserve"> propriedades intrínsecas </w:t>
      </w:r>
      <w:r w:rsidR="00E467F5" w:rsidRPr="00FC4C3F">
        <w:rPr>
          <w:sz w:val="22"/>
          <w:szCs w:val="22"/>
        </w:rPr>
        <w:t>do material</w:t>
      </w:r>
      <w:r w:rsidR="001752AA" w:rsidRPr="00FC4C3F">
        <w:rPr>
          <w:sz w:val="22"/>
          <w:szCs w:val="22"/>
        </w:rPr>
        <w:t>, este irá sofrer uma determinada deformação com profundidade específica.</w:t>
      </w:r>
      <w:r w:rsidR="00B757CC" w:rsidRPr="00FC4C3F">
        <w:rPr>
          <w:sz w:val="22"/>
          <w:szCs w:val="22"/>
        </w:rPr>
        <w:t xml:space="preserve"> </w:t>
      </w:r>
      <w:r w:rsidR="00E34403">
        <w:rPr>
          <w:sz w:val="22"/>
          <w:szCs w:val="22"/>
        </w:rPr>
        <w:t>Na adulteração de um código de identificação</w:t>
      </w:r>
      <w:r w:rsidR="00B757CC" w:rsidRPr="00FC4C3F">
        <w:rPr>
          <w:sz w:val="22"/>
          <w:szCs w:val="22"/>
        </w:rPr>
        <w:t>, uma nova deformação será causada</w:t>
      </w:r>
      <w:r w:rsidR="00397B4E" w:rsidRPr="00FC4C3F">
        <w:rPr>
          <w:sz w:val="22"/>
          <w:szCs w:val="22"/>
        </w:rPr>
        <w:t>.</w:t>
      </w:r>
      <w:r w:rsidR="00B757CC" w:rsidRPr="00FC4C3F">
        <w:rPr>
          <w:sz w:val="22"/>
          <w:szCs w:val="22"/>
        </w:rPr>
        <w:t xml:space="preserve"> </w:t>
      </w:r>
      <w:r w:rsidR="001752AA" w:rsidRPr="00FC4C3F">
        <w:rPr>
          <w:sz w:val="22"/>
          <w:szCs w:val="22"/>
        </w:rPr>
        <w:t>Desta forma,</w:t>
      </w:r>
      <w:r w:rsidR="002B254E" w:rsidRPr="00FC4C3F">
        <w:rPr>
          <w:sz w:val="22"/>
          <w:szCs w:val="22"/>
        </w:rPr>
        <w:t xml:space="preserve"> </w:t>
      </w:r>
      <w:r w:rsidR="001752AA" w:rsidRPr="00FC4C3F">
        <w:rPr>
          <w:sz w:val="22"/>
          <w:szCs w:val="22"/>
        </w:rPr>
        <w:t>devido à variação de proprieda</w:t>
      </w:r>
      <w:r w:rsidR="00B757CC" w:rsidRPr="00FC4C3F">
        <w:rPr>
          <w:sz w:val="22"/>
          <w:szCs w:val="22"/>
        </w:rPr>
        <w:t>des físicas e químicas entre a deformaç</w:t>
      </w:r>
      <w:r w:rsidR="002B254E" w:rsidRPr="00FC4C3F">
        <w:rPr>
          <w:sz w:val="22"/>
          <w:szCs w:val="22"/>
        </w:rPr>
        <w:t>ão causada pela marcação original e a deformação gerada pela adulteração é possível detecta-las e diferencia-las através de técnicas de revelação</w:t>
      </w:r>
      <w:r w:rsidR="00A6422F" w:rsidRPr="00FC4C3F">
        <w:rPr>
          <w:sz w:val="22"/>
          <w:szCs w:val="22"/>
        </w:rPr>
        <w:t>.</w:t>
      </w:r>
      <w:r w:rsidR="008A56C3" w:rsidRPr="00FC4C3F">
        <w:rPr>
          <w:sz w:val="22"/>
          <w:szCs w:val="22"/>
        </w:rPr>
        <w:fldChar w:fldCharType="begin" w:fldLock="1"/>
      </w:r>
      <w:r w:rsidR="0092013E" w:rsidRPr="00FC4C3F">
        <w:rPr>
          <w:sz w:val="22"/>
          <w:szCs w:val="22"/>
        </w:rPr>
        <w:instrText>ADDIN CSL_CITATION { "citationItems" : [ { "id" : "ITEM-1", "itemData" : { "DOI" : "7A23529B98B74FDFA9B2C117D7ACB64F", "author" : [ { "dropping-particle" : "", "family" : "Kuppuswamy", "given" : "R", "non-dropping-particle" : "", "parse-names" : false, "suffix" : "" } ], "container-title" : "Aluminium Alloys, theory and applications", "id" : "ITEM-1", "issued" : { "date-parts" : [ [ "2010" ] ] }, "note" : "NULL", "page" : "331-353", "title" : "Metallographic Etching of Aluminium and Its Alloys for Restoration of Obliterated Marks in Forensic Science Practice and Investigations", "type" : "chapter" }, "uris" : [ "http://www.mendeley.com/documents/?uuid=6f7961b7-8ea8-41af-9951-7c2ed3d704d8" ] } ], "mendeley" : { "formattedCitation" : "(2)", "plainTextFormattedCitation" : "(2)", "previouslyFormattedCitation" : "(KUPPUSWAMY, 2010)" }, "properties" : { "noteIndex" : 0 }, "schema" : "https://github.com/citation-style-language/schema/raw/master/csl-citation.json" }</w:instrText>
      </w:r>
      <w:r w:rsidR="008A56C3" w:rsidRPr="00FC4C3F">
        <w:rPr>
          <w:sz w:val="22"/>
          <w:szCs w:val="22"/>
        </w:rPr>
        <w:fldChar w:fldCharType="separate"/>
      </w:r>
      <w:r w:rsidR="0092013E" w:rsidRPr="00FC4C3F">
        <w:rPr>
          <w:noProof/>
          <w:sz w:val="22"/>
          <w:szCs w:val="22"/>
        </w:rPr>
        <w:t>(2)</w:t>
      </w:r>
      <w:r w:rsidR="008A56C3" w:rsidRPr="00FC4C3F">
        <w:rPr>
          <w:sz w:val="22"/>
          <w:szCs w:val="22"/>
        </w:rPr>
        <w:fldChar w:fldCharType="end"/>
      </w:r>
    </w:p>
    <w:p w14:paraId="22CFB2A3" w14:textId="0FF91F9A" w:rsidR="00E116AF" w:rsidRPr="00FC4C3F" w:rsidRDefault="00397B4E" w:rsidP="00547E49">
      <w:pPr>
        <w:spacing w:line="240" w:lineRule="auto"/>
        <w:rPr>
          <w:sz w:val="22"/>
          <w:szCs w:val="22"/>
          <w:lang w:eastAsia="ja-JP"/>
        </w:rPr>
      </w:pPr>
      <w:r w:rsidRPr="00FC4C3F">
        <w:rPr>
          <w:sz w:val="22"/>
          <w:szCs w:val="22"/>
          <w:lang w:eastAsia="ja-JP"/>
        </w:rPr>
        <w:t>No cenário brasileiro, as técnicas</w:t>
      </w:r>
      <w:r w:rsidR="00A762D9" w:rsidRPr="00FC4C3F">
        <w:rPr>
          <w:sz w:val="22"/>
          <w:szCs w:val="22"/>
          <w:lang w:eastAsia="ja-JP"/>
        </w:rPr>
        <w:t xml:space="preserve"> mais empregadas na</w:t>
      </w:r>
      <w:r w:rsidR="00E17845" w:rsidRPr="00FC4C3F">
        <w:rPr>
          <w:sz w:val="22"/>
          <w:szCs w:val="22"/>
          <w:lang w:eastAsia="ja-JP"/>
        </w:rPr>
        <w:t xml:space="preserve"> recuperação de marcações originais</w:t>
      </w:r>
      <w:r w:rsidR="00A6422F" w:rsidRPr="00FC4C3F">
        <w:rPr>
          <w:sz w:val="22"/>
          <w:szCs w:val="22"/>
          <w:lang w:eastAsia="ja-JP"/>
        </w:rPr>
        <w:t>,</w:t>
      </w:r>
      <w:r w:rsidR="00E17845" w:rsidRPr="00FC4C3F">
        <w:rPr>
          <w:sz w:val="22"/>
          <w:szCs w:val="22"/>
          <w:lang w:eastAsia="ja-JP"/>
        </w:rPr>
        <w:t xml:space="preserve"> em metais</w:t>
      </w:r>
      <w:r w:rsidR="00A6422F" w:rsidRPr="00FC4C3F">
        <w:rPr>
          <w:sz w:val="22"/>
          <w:szCs w:val="22"/>
          <w:lang w:eastAsia="ja-JP"/>
        </w:rPr>
        <w:t>,</w:t>
      </w:r>
      <w:r w:rsidR="00E17845" w:rsidRPr="00FC4C3F">
        <w:rPr>
          <w:sz w:val="22"/>
          <w:szCs w:val="22"/>
          <w:lang w:eastAsia="ja-JP"/>
        </w:rPr>
        <w:t xml:space="preserve"> são o ataque químico e ataque eletrolítico</w:t>
      </w:r>
      <w:r w:rsidR="00961C66" w:rsidRPr="00FC4C3F">
        <w:rPr>
          <w:sz w:val="22"/>
          <w:szCs w:val="22"/>
          <w:lang w:eastAsia="ja-JP"/>
        </w:rPr>
        <w:t>. Entretanto, a característica destrutiva e a dependência desses com relação a composição química do material</w:t>
      </w:r>
      <w:r w:rsidR="00211CF2" w:rsidRPr="00FC4C3F">
        <w:rPr>
          <w:sz w:val="22"/>
          <w:szCs w:val="22"/>
          <w:lang w:eastAsia="ja-JP"/>
        </w:rPr>
        <w:t>,</w:t>
      </w:r>
      <w:r w:rsidR="00961C66" w:rsidRPr="00FC4C3F">
        <w:rPr>
          <w:sz w:val="22"/>
          <w:szCs w:val="22"/>
          <w:lang w:eastAsia="ja-JP"/>
        </w:rPr>
        <w:t xml:space="preserve"> atrelados ao desenvolvimento constante da indústria automobilística</w:t>
      </w:r>
      <w:r w:rsidR="00211CF2" w:rsidRPr="00FC4C3F">
        <w:rPr>
          <w:sz w:val="22"/>
          <w:szCs w:val="22"/>
          <w:lang w:eastAsia="ja-JP"/>
        </w:rPr>
        <w:t>,</w:t>
      </w:r>
      <w:r w:rsidR="00E116AF" w:rsidRPr="00FC4C3F">
        <w:rPr>
          <w:sz w:val="22"/>
          <w:szCs w:val="22"/>
          <w:lang w:eastAsia="ja-JP"/>
        </w:rPr>
        <w:t xml:space="preserve"> tornam cada vez mais desafiadora a </w:t>
      </w:r>
      <w:r w:rsidRPr="00FC4C3F">
        <w:rPr>
          <w:sz w:val="22"/>
          <w:szCs w:val="22"/>
          <w:lang w:eastAsia="ja-JP"/>
        </w:rPr>
        <w:t xml:space="preserve">sua </w:t>
      </w:r>
      <w:r w:rsidR="00E116AF" w:rsidRPr="00FC4C3F">
        <w:rPr>
          <w:sz w:val="22"/>
          <w:szCs w:val="22"/>
          <w:lang w:eastAsia="ja-JP"/>
        </w:rPr>
        <w:t>aplicação para o fim em questão.</w:t>
      </w:r>
      <w:r w:rsidR="00961C66" w:rsidRPr="00FC4C3F">
        <w:rPr>
          <w:sz w:val="22"/>
          <w:szCs w:val="22"/>
          <w:lang w:eastAsia="ja-JP"/>
        </w:rPr>
        <w:t xml:space="preserve"> </w:t>
      </w:r>
      <w:r w:rsidR="00E116AF" w:rsidRPr="00FC4C3F">
        <w:rPr>
          <w:sz w:val="22"/>
          <w:szCs w:val="22"/>
          <w:lang w:eastAsia="ja-JP"/>
        </w:rPr>
        <w:t>Deste modo, n</w:t>
      </w:r>
      <w:r w:rsidR="00D4599A" w:rsidRPr="00FC4C3F">
        <w:rPr>
          <w:sz w:val="22"/>
          <w:szCs w:val="22"/>
          <w:lang w:eastAsia="ja-JP"/>
        </w:rPr>
        <w:t>a tentativa de preservar o estado original da superfície a ser analisada,</w:t>
      </w:r>
      <w:r w:rsidR="00E116AF" w:rsidRPr="00FC4C3F">
        <w:rPr>
          <w:sz w:val="22"/>
          <w:szCs w:val="22"/>
          <w:lang w:eastAsia="ja-JP"/>
        </w:rPr>
        <w:t xml:space="preserve"> cientistas forenses vêm estudando, mundialmente,</w:t>
      </w:r>
      <w:r w:rsidR="00D4599A" w:rsidRPr="00FC4C3F">
        <w:rPr>
          <w:sz w:val="22"/>
          <w:szCs w:val="22"/>
          <w:lang w:eastAsia="ja-JP"/>
        </w:rPr>
        <w:t xml:space="preserve"> </w:t>
      </w:r>
      <w:r w:rsidR="00E116AF" w:rsidRPr="00FC4C3F">
        <w:rPr>
          <w:sz w:val="22"/>
          <w:szCs w:val="22"/>
          <w:lang w:eastAsia="ja-JP"/>
        </w:rPr>
        <w:t xml:space="preserve">a eficiência e a aplicabilidade de métodos e procedimentos de revelação não destrutivos que possam aprimorar as perícias criminais de investigação veicular. </w:t>
      </w:r>
      <w:r w:rsidR="00E34403">
        <w:rPr>
          <w:sz w:val="22"/>
          <w:szCs w:val="22"/>
          <w:lang w:eastAsia="ja-JP"/>
        </w:rPr>
        <w:t xml:space="preserve"> </w:t>
      </w:r>
      <w:r w:rsidR="00E116AF" w:rsidRPr="00FC4C3F">
        <w:rPr>
          <w:sz w:val="22"/>
          <w:szCs w:val="22"/>
          <w:lang w:eastAsia="ja-JP"/>
        </w:rPr>
        <w:t>Umas das tecnologias desenvolvidas é o sistema produzido pela empresa Regula utilizado em diversos laboratórios forenses internaciona</w:t>
      </w:r>
      <w:r w:rsidRPr="00FC4C3F">
        <w:rPr>
          <w:sz w:val="22"/>
          <w:szCs w:val="22"/>
          <w:lang w:eastAsia="ja-JP"/>
        </w:rPr>
        <w:t>is. Este se baseia na evolução d</w:t>
      </w:r>
      <w:r w:rsidR="00E116AF" w:rsidRPr="00FC4C3F">
        <w:rPr>
          <w:sz w:val="22"/>
          <w:szCs w:val="22"/>
          <w:lang w:eastAsia="ja-JP"/>
        </w:rPr>
        <w:t xml:space="preserve">o ensaio de correntes parasitas convencional, </w:t>
      </w:r>
      <w:r w:rsidR="00A204C6" w:rsidRPr="00FC4C3F">
        <w:rPr>
          <w:sz w:val="22"/>
          <w:szCs w:val="22"/>
          <w:lang w:eastAsia="ja-JP"/>
        </w:rPr>
        <w:t>através do</w:t>
      </w:r>
      <w:r w:rsidR="00E116AF" w:rsidRPr="00FC4C3F">
        <w:rPr>
          <w:sz w:val="22"/>
          <w:szCs w:val="22"/>
          <w:lang w:eastAsia="ja-JP"/>
        </w:rPr>
        <w:t xml:space="preserve"> qual é possível visualizar a imagem dos defeitos ou heterogeneidades do material atravé</w:t>
      </w:r>
      <w:r w:rsidR="00A204C6" w:rsidRPr="00FC4C3F">
        <w:rPr>
          <w:sz w:val="22"/>
          <w:szCs w:val="22"/>
          <w:lang w:eastAsia="ja-JP"/>
        </w:rPr>
        <w:t>s de</w:t>
      </w:r>
      <w:r w:rsidR="00E116AF" w:rsidRPr="00FC4C3F">
        <w:rPr>
          <w:sz w:val="22"/>
          <w:szCs w:val="22"/>
          <w:lang w:eastAsia="ja-JP"/>
        </w:rPr>
        <w:t xml:space="preserve"> gravação magnética e conversão magneto- óptica. </w:t>
      </w:r>
      <w:r w:rsidR="008A56C3" w:rsidRPr="00FC4C3F">
        <w:rPr>
          <w:sz w:val="22"/>
          <w:szCs w:val="22"/>
          <w:lang w:eastAsia="ja-JP"/>
        </w:rPr>
        <w:fldChar w:fldCharType="begin" w:fldLock="1"/>
      </w:r>
      <w:r w:rsidR="0092013E" w:rsidRPr="00FC4C3F">
        <w:rPr>
          <w:sz w:val="22"/>
          <w:szCs w:val="22"/>
          <w:lang w:eastAsia="ja-JP"/>
        </w:rPr>
        <w:instrText>ADDIN CSL_CITATION { "citationItems" : [ { "id" : "ITEM-1", "itemData" : { "DOI" : "10.1016/j.forsciint.2010.09.015", "ISSN" : "03790738", "PMID" : "20943335", "abstract" : "There are different techniques for the restoration of erased markings in metals. Non-destructive methods are generally preferable. The only frequently used non-destructive method is the magnetic technique. The different kinds of magnetic restoration methods are discussed in the article. In the experiments described, the applicability of magneto-optical methods for the restoration of obliterated markings was examined. The results show that the methods are suitable and the required equipment does not cause high expenses. ?? 2010 Elsevier Ireland Ltd.", "author" : [ { "dropping-particle" : "", "family" : "Weimar", "given" : "Bert", "non-dropping-particle" : "", "parse-names" : false, "suffix" : "" }, { "dropping-particle" : "", "family" : "Herrmann", "given" : "Dirk", "non-dropping-particle" : "", "parse-names" : false, "suffix" : "" } ], "container-title" : "Forensic Science International", "id" : "ITEM-1", "issue" : "1-3", "issued" : { "date-parts" : [ [ "2011" ] ] }, "note" : "NULL", "page" : "119-121", "publisher" : "Elsevier Ireland Ltd", "title" : "A simple magneto-optical method for the restoration of erased markings in metals", "type" : "article-journal", "volume" : "207" }, "uris" : [ "http://www.mendeley.com/documents/?uuid=f22f5b59-f23d-4257-bc3d-a6746d15142d" ] }, { "id" : "ITEM-2", "itemData" : { "DOI" : "10.1080/10589759.2011.610453", "ISSN" : "1058-9759", "author" : [ { "dropping-particle" : "", "family" : "Agalidi", "given" : "Yuriy", "non-dropping-particle" : "", "parse-names" : false, "suffix" : "" }, { "dropping-particle" : "", "family" : "Kozhukhar", "given" : "Pavel", "non-dropping-particle" : "", "parse-names" : false, "suffix" : "" }, { "dropping-particle" : "", "family" : "Levyi", "given" : "Sergii", "non-dropping-particle" : "", "parse-names" : false, "suffix" : "" }, { "dropping-particle" : "", "family" : "Rogozhinsky", "given" : "Yuriy", "non-dropping-particle" : "", "parse-names" : false, "suffix" : "" }, { "dropping-particle" : "", "family" : "Shumsky", "given" : "Ivan", "non-dropping-particle" : "", "parse-names" : false, "suffix" : "" } ], "container-title" : "Taylor &amp; Francis", "id" : "ITEM-2", "issue" : "2", "issued" : { "date-parts" : [ [ "2011" ] ] }, "note" : "NULL", "page" : "109-119", "title" : "Eddy current fields/magnetic recording/magneto-optic imaging NDI method", "type" : "article-journal", "volume" : "27" }, "uris" : [ "http://www.mendeley.com/documents/?uuid=33b75ba2-3e83-40ce-9721-8530ca38ed8b" ] }, { "id" : "ITEM-3", "itemData" : { "ISBN" : "073540173X", "author" : [ { "dropping-particle" : "", "family" : "Utrata", "given" : "D", "non-dropping-particle" : "", "parse-names" : false, "suffix" : "" }, { "dropping-particle" : "", "family" : "Johnson", "given" : "M J", "non-dropping-particle" : "", "parse-names" : false, "suffix" : "" } ], "id" : "ITEM-3", "issued" : { "date-parts" : [ [ "0" ] ] }, "note" : "NULL", "publisher-place" : "Ames, IA", "title" : "Development of Magnetic Particle Method For Forensic Recovery Of Serial Numbers", "type" : "report" }, "uris" : [ "http://www.mendeley.com/documents/?uuid=8fd0997e-077f-4472-849d-42f8b0f7547f" ] } ], "mendeley" : { "formattedCitation" : "(3\u20135)", "plainTextFormattedCitation" : "(3\u20135)", "previouslyFormattedCitation" : "(UTRATA; JOHNSON; AGALIDI et al., 2011; WEIMAR; HERRMANN, 2011)" }, "properties" : { "noteIndex" : 0 }, "schema" : "https://github.com/citation-style-language/schema/raw/master/csl-citation.json" }</w:instrText>
      </w:r>
      <w:r w:rsidR="008A56C3" w:rsidRPr="00FC4C3F">
        <w:rPr>
          <w:sz w:val="22"/>
          <w:szCs w:val="22"/>
          <w:lang w:eastAsia="ja-JP"/>
        </w:rPr>
        <w:fldChar w:fldCharType="separate"/>
      </w:r>
      <w:r w:rsidR="00FC4C3F" w:rsidRPr="00FC4C3F">
        <w:rPr>
          <w:noProof/>
          <w:sz w:val="22"/>
          <w:szCs w:val="22"/>
          <w:lang w:eastAsia="ja-JP"/>
        </w:rPr>
        <w:t>(3,4</w:t>
      </w:r>
      <w:r w:rsidR="0092013E" w:rsidRPr="00FC4C3F">
        <w:rPr>
          <w:noProof/>
          <w:sz w:val="22"/>
          <w:szCs w:val="22"/>
          <w:lang w:eastAsia="ja-JP"/>
        </w:rPr>
        <w:t>)</w:t>
      </w:r>
      <w:r w:rsidR="008A56C3" w:rsidRPr="00FC4C3F">
        <w:rPr>
          <w:sz w:val="22"/>
          <w:szCs w:val="22"/>
          <w:lang w:eastAsia="ja-JP"/>
        </w:rPr>
        <w:fldChar w:fldCharType="end"/>
      </w:r>
    </w:p>
    <w:p w14:paraId="618F6F8F" w14:textId="103F6083" w:rsidR="00E17845" w:rsidRPr="00FC4C3F" w:rsidRDefault="00E116AF" w:rsidP="00547E49">
      <w:pPr>
        <w:spacing w:line="240" w:lineRule="auto"/>
        <w:rPr>
          <w:sz w:val="22"/>
          <w:szCs w:val="22"/>
          <w:lang w:eastAsia="ja-JP"/>
        </w:rPr>
      </w:pPr>
      <w:r w:rsidRPr="00FC4C3F">
        <w:rPr>
          <w:sz w:val="22"/>
          <w:szCs w:val="22"/>
          <w:lang w:eastAsia="ja-JP"/>
        </w:rPr>
        <w:t>Deste modo, o presente trabalho teve como objetivo o estudo</w:t>
      </w:r>
      <w:r w:rsidR="005D0FBA" w:rsidRPr="00FC4C3F">
        <w:rPr>
          <w:sz w:val="22"/>
          <w:szCs w:val="22"/>
          <w:lang w:eastAsia="ja-JP"/>
        </w:rPr>
        <w:t xml:space="preserve"> da aplicabilidade da técnica não destrutiva</w:t>
      </w:r>
      <w:r w:rsidRPr="00FC4C3F">
        <w:rPr>
          <w:sz w:val="22"/>
          <w:szCs w:val="22"/>
          <w:lang w:eastAsia="ja-JP"/>
        </w:rPr>
        <w:t xml:space="preserve"> de correntes parasitas (CP)/ Magnetograma (M)/ Visualização Magneto-Óptica (VMO)</w:t>
      </w:r>
      <w:r w:rsidR="00813786" w:rsidRPr="00FC4C3F">
        <w:rPr>
          <w:sz w:val="22"/>
          <w:szCs w:val="22"/>
          <w:lang w:eastAsia="ja-JP"/>
        </w:rPr>
        <w:t xml:space="preserve"> na restauração de marcações originais</w:t>
      </w:r>
      <w:r w:rsidR="00677E21" w:rsidRPr="00FC4C3F">
        <w:rPr>
          <w:sz w:val="22"/>
          <w:szCs w:val="22"/>
          <w:lang w:eastAsia="ja-JP"/>
        </w:rPr>
        <w:t>,</w:t>
      </w:r>
      <w:r w:rsidRPr="00FC4C3F">
        <w:rPr>
          <w:sz w:val="22"/>
          <w:szCs w:val="22"/>
          <w:lang w:eastAsia="ja-JP"/>
        </w:rPr>
        <w:t xml:space="preserve"> </w:t>
      </w:r>
      <w:r w:rsidR="00677E21" w:rsidRPr="00FC4C3F">
        <w:rPr>
          <w:sz w:val="22"/>
          <w:szCs w:val="22"/>
          <w:lang w:eastAsia="ja-JP"/>
        </w:rPr>
        <w:t>em comparação com o método</w:t>
      </w:r>
      <w:r w:rsidR="00813786" w:rsidRPr="00FC4C3F">
        <w:rPr>
          <w:sz w:val="22"/>
          <w:szCs w:val="22"/>
          <w:lang w:eastAsia="ja-JP"/>
        </w:rPr>
        <w:t xml:space="preserve"> destrutivo</w:t>
      </w:r>
      <w:r w:rsidR="00677E21" w:rsidRPr="00FC4C3F">
        <w:rPr>
          <w:sz w:val="22"/>
          <w:szCs w:val="22"/>
          <w:lang w:eastAsia="ja-JP"/>
        </w:rPr>
        <w:t xml:space="preserve"> de revelação por ataque químico</w:t>
      </w:r>
      <w:r w:rsidR="00813786" w:rsidRPr="00FC4C3F">
        <w:rPr>
          <w:sz w:val="22"/>
          <w:szCs w:val="22"/>
          <w:lang w:eastAsia="ja-JP"/>
        </w:rPr>
        <w:t>.</w:t>
      </w:r>
    </w:p>
    <w:p w14:paraId="7684D770" w14:textId="21818720" w:rsidR="00BE1D5B" w:rsidRPr="00FC4C3F" w:rsidRDefault="00397B4E" w:rsidP="002B618F">
      <w:pPr>
        <w:spacing w:line="240" w:lineRule="auto"/>
        <w:rPr>
          <w:sz w:val="22"/>
          <w:szCs w:val="22"/>
          <w:lang w:eastAsia="ja-JP"/>
        </w:rPr>
      </w:pPr>
      <w:r w:rsidRPr="00FC4C3F">
        <w:rPr>
          <w:sz w:val="22"/>
          <w:szCs w:val="22"/>
          <w:lang w:eastAsia="ja-JP"/>
        </w:rPr>
        <w:t>Para isso, f</w:t>
      </w:r>
      <w:r w:rsidR="00547E49" w:rsidRPr="00FC4C3F">
        <w:rPr>
          <w:sz w:val="22"/>
          <w:szCs w:val="22"/>
          <w:lang w:eastAsia="ja-JP"/>
        </w:rPr>
        <w:t>oram analisadas três</w:t>
      </w:r>
      <w:r w:rsidR="00F0642C" w:rsidRPr="00FC4C3F">
        <w:rPr>
          <w:sz w:val="22"/>
          <w:szCs w:val="22"/>
          <w:lang w:eastAsia="ja-JP"/>
        </w:rPr>
        <w:t xml:space="preserve"> amostras</w:t>
      </w:r>
      <w:r w:rsidR="00547E49" w:rsidRPr="00FC4C3F">
        <w:rPr>
          <w:sz w:val="22"/>
          <w:szCs w:val="22"/>
          <w:lang w:eastAsia="ja-JP"/>
        </w:rPr>
        <w:t xml:space="preserve"> metálicas ferromagnéticas</w:t>
      </w:r>
      <w:r w:rsidRPr="00FC4C3F">
        <w:rPr>
          <w:sz w:val="22"/>
          <w:szCs w:val="22"/>
          <w:lang w:eastAsia="ja-JP"/>
        </w:rPr>
        <w:t>,</w:t>
      </w:r>
      <w:r w:rsidR="00547E49" w:rsidRPr="00FC4C3F">
        <w:rPr>
          <w:sz w:val="22"/>
          <w:szCs w:val="22"/>
          <w:lang w:eastAsia="ja-JP"/>
        </w:rPr>
        <w:t xml:space="preserve"> extraídas do chassi de um automóvel</w:t>
      </w:r>
      <w:r w:rsidR="009F0D82" w:rsidRPr="00FC4C3F">
        <w:rPr>
          <w:sz w:val="22"/>
          <w:szCs w:val="22"/>
          <w:lang w:eastAsia="ja-JP"/>
        </w:rPr>
        <w:t>, denominadas C1, C2 e C3</w:t>
      </w:r>
      <w:r w:rsidR="00547E49" w:rsidRPr="00FC4C3F">
        <w:rPr>
          <w:sz w:val="22"/>
          <w:szCs w:val="22"/>
          <w:lang w:eastAsia="ja-JP"/>
        </w:rPr>
        <w:t>. Cada amostra foi identificada com um código especí</w:t>
      </w:r>
      <w:r w:rsidR="009F0D82" w:rsidRPr="00FC4C3F">
        <w:rPr>
          <w:sz w:val="22"/>
          <w:szCs w:val="22"/>
          <w:lang w:eastAsia="ja-JP"/>
        </w:rPr>
        <w:t>fico: CH</w:t>
      </w:r>
      <w:r w:rsidR="009F0D82" w:rsidRPr="00FC4C3F">
        <w:rPr>
          <w:sz w:val="22"/>
          <w:szCs w:val="22"/>
        </w:rPr>
        <w:sym w:font="Symbol" w:char="F04C"/>
      </w:r>
      <w:r w:rsidR="009F0D82" w:rsidRPr="00FC4C3F">
        <w:rPr>
          <w:sz w:val="22"/>
          <w:szCs w:val="22"/>
          <w:lang w:eastAsia="ja-JP"/>
        </w:rPr>
        <w:t>1, LF e H, respectivamente,</w:t>
      </w:r>
      <w:r w:rsidR="00547E49" w:rsidRPr="00FC4C3F">
        <w:rPr>
          <w:sz w:val="22"/>
          <w:szCs w:val="22"/>
          <w:lang w:eastAsia="ja-JP"/>
        </w:rPr>
        <w:t xml:space="preserve"> impressos por indentações </w:t>
      </w:r>
      <w:r w:rsidR="00547E49" w:rsidRPr="00FC4C3F">
        <w:rPr>
          <w:i/>
          <w:sz w:val="22"/>
          <w:szCs w:val="22"/>
          <w:lang w:eastAsia="ja-JP"/>
        </w:rPr>
        <w:t>Rockwell C</w:t>
      </w:r>
      <w:r w:rsidR="00547E49" w:rsidRPr="00FC4C3F">
        <w:rPr>
          <w:sz w:val="22"/>
          <w:szCs w:val="22"/>
          <w:lang w:eastAsia="ja-JP"/>
        </w:rPr>
        <w:t xml:space="preserve"> com uma carga de 62,</w:t>
      </w:r>
      <w:r w:rsidR="00A204C6" w:rsidRPr="00FC4C3F">
        <w:rPr>
          <w:sz w:val="22"/>
          <w:szCs w:val="22"/>
          <w:lang w:eastAsia="ja-JP"/>
        </w:rPr>
        <w:t>5kg na tentativa de reproduzir</w:t>
      </w:r>
      <w:r w:rsidR="00547E49" w:rsidRPr="00FC4C3F">
        <w:rPr>
          <w:sz w:val="22"/>
          <w:szCs w:val="22"/>
          <w:lang w:eastAsia="ja-JP"/>
        </w:rPr>
        <w:t xml:space="preserve"> </w:t>
      </w:r>
      <w:r w:rsidR="00813786" w:rsidRPr="00FC4C3F">
        <w:rPr>
          <w:sz w:val="22"/>
          <w:szCs w:val="22"/>
          <w:lang w:eastAsia="ja-JP"/>
        </w:rPr>
        <w:t xml:space="preserve">o método de </w:t>
      </w:r>
      <w:r w:rsidR="00547E49" w:rsidRPr="00FC4C3F">
        <w:rPr>
          <w:sz w:val="22"/>
          <w:szCs w:val="22"/>
          <w:lang w:eastAsia="ja-JP"/>
        </w:rPr>
        <w:t>marcação por pontos ou micropercussão</w:t>
      </w:r>
      <w:r w:rsidR="0025206E" w:rsidRPr="00FC4C3F">
        <w:rPr>
          <w:sz w:val="22"/>
          <w:szCs w:val="22"/>
          <w:lang w:eastAsia="ja-JP"/>
        </w:rPr>
        <w:t xml:space="preserve"> (</w:t>
      </w:r>
      <w:r w:rsidR="0025206E" w:rsidRPr="00FC4C3F">
        <w:rPr>
          <w:sz w:val="22"/>
          <w:szCs w:val="22"/>
          <w:lang w:eastAsia="ja-JP"/>
        </w:rPr>
        <w:fldChar w:fldCharType="begin"/>
      </w:r>
      <w:r w:rsidR="0025206E" w:rsidRPr="00FC4C3F">
        <w:rPr>
          <w:sz w:val="22"/>
          <w:szCs w:val="22"/>
          <w:lang w:eastAsia="ja-JP"/>
        </w:rPr>
        <w:instrText xml:space="preserve"> REF _Ref487709669 \h  \* MERGEFORMAT </w:instrText>
      </w:r>
      <w:r w:rsidR="0025206E" w:rsidRPr="00FC4C3F">
        <w:rPr>
          <w:sz w:val="22"/>
          <w:szCs w:val="22"/>
          <w:lang w:eastAsia="ja-JP"/>
        </w:rPr>
      </w:r>
      <w:r w:rsidR="0025206E" w:rsidRPr="00FC4C3F">
        <w:rPr>
          <w:sz w:val="22"/>
          <w:szCs w:val="22"/>
          <w:lang w:eastAsia="ja-JP"/>
        </w:rPr>
        <w:fldChar w:fldCharType="separate"/>
      </w:r>
      <w:r w:rsidR="0025206E" w:rsidRPr="00FC4C3F">
        <w:rPr>
          <w:sz w:val="22"/>
          <w:szCs w:val="22"/>
        </w:rPr>
        <w:t xml:space="preserve">Figura </w:t>
      </w:r>
      <w:r w:rsidR="0025206E" w:rsidRPr="00FC4C3F">
        <w:rPr>
          <w:noProof/>
          <w:sz w:val="22"/>
          <w:szCs w:val="22"/>
        </w:rPr>
        <w:t>1</w:t>
      </w:r>
      <w:r w:rsidR="0025206E" w:rsidRPr="00FC4C3F">
        <w:rPr>
          <w:sz w:val="22"/>
          <w:szCs w:val="22"/>
          <w:lang w:eastAsia="ja-JP"/>
        </w:rPr>
        <w:fldChar w:fldCharType="end"/>
      </w:r>
      <w:r w:rsidR="0025206E" w:rsidRPr="00FC4C3F">
        <w:rPr>
          <w:sz w:val="22"/>
          <w:szCs w:val="22"/>
          <w:lang w:eastAsia="ja-JP"/>
        </w:rPr>
        <w:t>a)</w:t>
      </w:r>
      <w:r w:rsidR="00547E49" w:rsidRPr="00FC4C3F">
        <w:rPr>
          <w:sz w:val="22"/>
          <w:szCs w:val="22"/>
          <w:lang w:eastAsia="ja-JP"/>
        </w:rPr>
        <w:t>.</w:t>
      </w:r>
      <w:r w:rsidR="000F0D8B" w:rsidRPr="00FC4C3F">
        <w:rPr>
          <w:sz w:val="22"/>
          <w:szCs w:val="22"/>
          <w:lang w:eastAsia="ja-JP"/>
        </w:rPr>
        <w:t xml:space="preserve"> A profundidade média de marcação em cada chapa, medidas com o auxílio de um perfilômetro </w:t>
      </w:r>
      <w:r w:rsidR="000F0D8B" w:rsidRPr="00FC4C3F">
        <w:rPr>
          <w:i/>
          <w:sz w:val="22"/>
          <w:szCs w:val="22"/>
          <w:lang w:eastAsia="ja-JP"/>
        </w:rPr>
        <w:t>Bruker</w:t>
      </w:r>
      <w:r w:rsidR="000F0D8B" w:rsidRPr="00FC4C3F">
        <w:rPr>
          <w:sz w:val="22"/>
          <w:szCs w:val="22"/>
          <w:lang w:eastAsia="ja-JP"/>
        </w:rPr>
        <w:t xml:space="preserve"> modelo </w:t>
      </w:r>
      <w:r w:rsidR="000F0D8B" w:rsidRPr="00FC4C3F">
        <w:rPr>
          <w:i/>
          <w:sz w:val="22"/>
          <w:szCs w:val="22"/>
        </w:rPr>
        <w:t>Dektak XT</w:t>
      </w:r>
      <w:r w:rsidR="000F0D8B" w:rsidRPr="00FC4C3F">
        <w:rPr>
          <w:sz w:val="22"/>
          <w:szCs w:val="22"/>
          <w:lang w:eastAsia="ja-JP"/>
        </w:rPr>
        <w:t>, foi de: 230</w:t>
      </w:r>
      <w:r w:rsidR="000F0D8B" w:rsidRPr="00FC4C3F">
        <w:rPr>
          <w:sz w:val="22"/>
          <w:szCs w:val="22"/>
        </w:rPr>
        <w:sym w:font="Symbol" w:char="F06D"/>
      </w:r>
      <w:r w:rsidR="000F0D8B" w:rsidRPr="00FC4C3F">
        <w:rPr>
          <w:sz w:val="22"/>
          <w:szCs w:val="22"/>
        </w:rPr>
        <w:t xml:space="preserve">m, 210 </w:t>
      </w:r>
      <w:r w:rsidR="000F0D8B" w:rsidRPr="00FC4C3F">
        <w:rPr>
          <w:sz w:val="22"/>
          <w:szCs w:val="22"/>
        </w:rPr>
        <w:sym w:font="Symbol" w:char="F06D"/>
      </w:r>
      <w:r w:rsidR="000F0D8B" w:rsidRPr="00FC4C3F">
        <w:rPr>
          <w:sz w:val="22"/>
          <w:szCs w:val="22"/>
        </w:rPr>
        <w:t>m e 210</w:t>
      </w:r>
      <w:r w:rsidR="000F0D8B" w:rsidRPr="00FC4C3F">
        <w:rPr>
          <w:sz w:val="22"/>
          <w:szCs w:val="22"/>
        </w:rPr>
        <w:sym w:font="Symbol" w:char="F06D"/>
      </w:r>
      <w:r w:rsidR="000F0D8B" w:rsidRPr="00FC4C3F">
        <w:rPr>
          <w:sz w:val="22"/>
          <w:szCs w:val="22"/>
        </w:rPr>
        <w:t>m</w:t>
      </w:r>
      <w:r w:rsidR="00FC4C3F" w:rsidRPr="00FC4C3F">
        <w:rPr>
          <w:sz w:val="22"/>
          <w:szCs w:val="22"/>
        </w:rPr>
        <w:t>, respectivamente</w:t>
      </w:r>
      <w:r w:rsidR="000F0D8B" w:rsidRPr="00FC4C3F">
        <w:rPr>
          <w:sz w:val="22"/>
          <w:szCs w:val="22"/>
          <w:lang w:eastAsia="ja-JP"/>
        </w:rPr>
        <w:t>.</w:t>
      </w:r>
      <w:r w:rsidR="00FC4C3F" w:rsidRPr="00FC4C3F">
        <w:rPr>
          <w:sz w:val="22"/>
          <w:szCs w:val="22"/>
          <w:lang w:eastAsia="ja-JP"/>
        </w:rPr>
        <w:t xml:space="preserve"> </w:t>
      </w:r>
      <w:r w:rsidR="009F0D82" w:rsidRPr="00FC4C3F">
        <w:rPr>
          <w:sz w:val="22"/>
          <w:szCs w:val="22"/>
          <w:lang w:eastAsia="ja-JP"/>
        </w:rPr>
        <w:t>Em seguida, as</w:t>
      </w:r>
      <w:r w:rsidR="00FC2A21" w:rsidRPr="00FC4C3F">
        <w:rPr>
          <w:sz w:val="22"/>
          <w:szCs w:val="22"/>
          <w:lang w:eastAsia="ja-JP"/>
        </w:rPr>
        <w:t xml:space="preserve"> identificações de cada chapa foram</w:t>
      </w:r>
      <w:r w:rsidR="009F0D82" w:rsidRPr="00FC4C3F">
        <w:rPr>
          <w:sz w:val="22"/>
          <w:szCs w:val="22"/>
          <w:lang w:eastAsia="ja-JP"/>
        </w:rPr>
        <w:t xml:space="preserve"> </w:t>
      </w:r>
      <w:r w:rsidR="00FC2A21" w:rsidRPr="00FC4C3F">
        <w:rPr>
          <w:sz w:val="22"/>
          <w:szCs w:val="22"/>
          <w:lang w:eastAsia="ja-JP"/>
        </w:rPr>
        <w:t>removidas por desgaste</w:t>
      </w:r>
      <w:r w:rsidR="00211CF2" w:rsidRPr="00FC4C3F">
        <w:rPr>
          <w:sz w:val="22"/>
          <w:szCs w:val="22"/>
          <w:lang w:eastAsia="ja-JP"/>
        </w:rPr>
        <w:t>, tornando-a</w:t>
      </w:r>
      <w:r w:rsidR="00813786" w:rsidRPr="00FC4C3F">
        <w:rPr>
          <w:sz w:val="22"/>
          <w:szCs w:val="22"/>
          <w:lang w:eastAsia="ja-JP"/>
        </w:rPr>
        <w:t xml:space="preserve">s imperceptíveis visualmente </w:t>
      </w:r>
      <w:r w:rsidR="0025206E" w:rsidRPr="00FC4C3F">
        <w:rPr>
          <w:sz w:val="22"/>
          <w:szCs w:val="22"/>
          <w:lang w:eastAsia="ja-JP"/>
        </w:rPr>
        <w:t>(</w:t>
      </w:r>
      <w:r w:rsidR="0025206E" w:rsidRPr="00FC4C3F">
        <w:rPr>
          <w:sz w:val="22"/>
          <w:szCs w:val="22"/>
          <w:lang w:eastAsia="ja-JP"/>
        </w:rPr>
        <w:fldChar w:fldCharType="begin"/>
      </w:r>
      <w:r w:rsidR="0025206E" w:rsidRPr="00FC4C3F">
        <w:rPr>
          <w:sz w:val="22"/>
          <w:szCs w:val="22"/>
          <w:lang w:eastAsia="ja-JP"/>
        </w:rPr>
        <w:instrText xml:space="preserve"> REF _Ref487709669 \h  \* MERGEFORMAT </w:instrText>
      </w:r>
      <w:r w:rsidR="0025206E" w:rsidRPr="00FC4C3F">
        <w:rPr>
          <w:sz w:val="22"/>
          <w:szCs w:val="22"/>
          <w:lang w:eastAsia="ja-JP"/>
        </w:rPr>
      </w:r>
      <w:r w:rsidR="0025206E" w:rsidRPr="00FC4C3F">
        <w:rPr>
          <w:sz w:val="22"/>
          <w:szCs w:val="22"/>
          <w:lang w:eastAsia="ja-JP"/>
        </w:rPr>
        <w:fldChar w:fldCharType="separate"/>
      </w:r>
      <w:r w:rsidR="0025206E" w:rsidRPr="00FC4C3F">
        <w:rPr>
          <w:sz w:val="22"/>
          <w:szCs w:val="22"/>
        </w:rPr>
        <w:t xml:space="preserve">Figura </w:t>
      </w:r>
      <w:r w:rsidR="0025206E" w:rsidRPr="00FC4C3F">
        <w:rPr>
          <w:noProof/>
          <w:sz w:val="22"/>
          <w:szCs w:val="22"/>
        </w:rPr>
        <w:t>1</w:t>
      </w:r>
      <w:r w:rsidR="0025206E" w:rsidRPr="00FC4C3F">
        <w:rPr>
          <w:sz w:val="22"/>
          <w:szCs w:val="22"/>
          <w:lang w:eastAsia="ja-JP"/>
        </w:rPr>
        <w:fldChar w:fldCharType="end"/>
      </w:r>
      <w:r w:rsidR="0025206E" w:rsidRPr="00FC4C3F">
        <w:rPr>
          <w:sz w:val="22"/>
          <w:szCs w:val="22"/>
          <w:lang w:eastAsia="ja-JP"/>
        </w:rPr>
        <w:t>b).</w:t>
      </w:r>
      <w:r w:rsidR="00BE1D5B" w:rsidRPr="00FC4C3F">
        <w:rPr>
          <w:sz w:val="22"/>
          <w:szCs w:val="22"/>
          <w:lang w:eastAsia="ja-JP"/>
        </w:rPr>
        <w:t xml:space="preserve"> </w:t>
      </w:r>
    </w:p>
    <w:p w14:paraId="586C32BB" w14:textId="681652F1" w:rsidR="0025206E" w:rsidRDefault="0025206E" w:rsidP="0025206E">
      <w:pPr>
        <w:keepNext/>
        <w:spacing w:line="240" w:lineRule="auto"/>
        <w:jc w:val="center"/>
      </w:pPr>
      <w:r>
        <w:rPr>
          <w:noProof/>
        </w:rPr>
        <w:drawing>
          <wp:inline distT="0" distB="0" distL="0" distR="0" wp14:anchorId="3B78C450" wp14:editId="519735E0">
            <wp:extent cx="2880000" cy="1444187"/>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ação e remoçã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444187"/>
                    </a:xfrm>
                    <a:prstGeom prst="rect">
                      <a:avLst/>
                    </a:prstGeom>
                  </pic:spPr>
                </pic:pic>
              </a:graphicData>
            </a:graphic>
          </wp:inline>
        </w:drawing>
      </w:r>
    </w:p>
    <w:p w14:paraId="6536F065" w14:textId="4B37C794" w:rsidR="0025206E" w:rsidRPr="0025206E" w:rsidRDefault="0025206E" w:rsidP="0025206E">
      <w:pPr>
        <w:pStyle w:val="Legenda"/>
        <w:jc w:val="center"/>
        <w:rPr>
          <w:i w:val="0"/>
          <w:color w:val="auto"/>
          <w:sz w:val="22"/>
          <w:lang w:eastAsia="ja-JP"/>
        </w:rPr>
      </w:pPr>
      <w:bookmarkStart w:id="1" w:name="_Ref487709669"/>
      <w:r w:rsidRPr="0025206E">
        <w:rPr>
          <w:b/>
          <w:i w:val="0"/>
          <w:color w:val="auto"/>
        </w:rPr>
        <w:t xml:space="preserve">Figura </w:t>
      </w:r>
      <w:r w:rsidRPr="0025206E">
        <w:rPr>
          <w:b/>
          <w:i w:val="0"/>
          <w:color w:val="auto"/>
        </w:rPr>
        <w:fldChar w:fldCharType="begin"/>
      </w:r>
      <w:r w:rsidRPr="0025206E">
        <w:rPr>
          <w:b/>
          <w:i w:val="0"/>
          <w:color w:val="auto"/>
        </w:rPr>
        <w:instrText xml:space="preserve"> SEQ Figura \* ARABIC </w:instrText>
      </w:r>
      <w:r w:rsidRPr="0025206E">
        <w:rPr>
          <w:b/>
          <w:i w:val="0"/>
          <w:color w:val="auto"/>
        </w:rPr>
        <w:fldChar w:fldCharType="separate"/>
      </w:r>
      <w:r w:rsidRPr="0025206E">
        <w:rPr>
          <w:b/>
          <w:i w:val="0"/>
          <w:noProof/>
          <w:color w:val="auto"/>
        </w:rPr>
        <w:t>1</w:t>
      </w:r>
      <w:r w:rsidRPr="0025206E">
        <w:rPr>
          <w:b/>
          <w:i w:val="0"/>
          <w:color w:val="auto"/>
        </w:rPr>
        <w:fldChar w:fldCharType="end"/>
      </w:r>
      <w:bookmarkEnd w:id="1"/>
      <w:r>
        <w:rPr>
          <w:b/>
          <w:i w:val="0"/>
          <w:color w:val="auto"/>
        </w:rPr>
        <w:t xml:space="preserve">. </w:t>
      </w:r>
      <w:r>
        <w:rPr>
          <w:i w:val="0"/>
          <w:color w:val="auto"/>
        </w:rPr>
        <w:t>(a) Amostras C1, C2 e C3 marcadas com seus respectivos códigos; (b) Amostras C1, C2 e C3 após a adulteração.</w:t>
      </w:r>
    </w:p>
    <w:p w14:paraId="75479595" w14:textId="30FAB535" w:rsidR="00BE1D5B" w:rsidRPr="00FC4C3F" w:rsidRDefault="00A95E41" w:rsidP="002B618F">
      <w:pPr>
        <w:spacing w:line="240" w:lineRule="auto"/>
        <w:rPr>
          <w:sz w:val="22"/>
          <w:szCs w:val="22"/>
          <w:lang w:eastAsia="ja-JP"/>
        </w:rPr>
      </w:pPr>
      <w:r w:rsidRPr="00FC4C3F">
        <w:rPr>
          <w:sz w:val="22"/>
          <w:szCs w:val="22"/>
          <w:lang w:eastAsia="ja-JP"/>
        </w:rPr>
        <w:t>Na adulteração, cada amostra sofreu uma perda de espessura diferente</w:t>
      </w:r>
      <w:r w:rsidR="000F0D8B" w:rsidRPr="00FC4C3F">
        <w:rPr>
          <w:sz w:val="22"/>
          <w:szCs w:val="22"/>
          <w:lang w:eastAsia="ja-JP"/>
        </w:rPr>
        <w:t xml:space="preserve"> </w:t>
      </w:r>
      <w:r w:rsidRPr="00FC4C3F">
        <w:rPr>
          <w:sz w:val="22"/>
          <w:szCs w:val="22"/>
          <w:lang w:eastAsia="ja-JP"/>
        </w:rPr>
        <w:t>com o intuito de avaliar o desempenho das técnicas a diferentes tamanhos de zona de deformação.</w:t>
      </w:r>
      <w:r w:rsidR="000F0D8B" w:rsidRPr="00FC4C3F">
        <w:rPr>
          <w:sz w:val="22"/>
          <w:szCs w:val="22"/>
          <w:lang w:eastAsia="ja-JP"/>
        </w:rPr>
        <w:t xml:space="preserve"> A perda de espessura</w:t>
      </w:r>
      <w:r w:rsidR="00FC4C3F" w:rsidRPr="00FC4C3F">
        <w:rPr>
          <w:sz w:val="22"/>
          <w:szCs w:val="22"/>
          <w:lang w:eastAsia="ja-JP"/>
        </w:rPr>
        <w:t>,</w:t>
      </w:r>
      <w:r w:rsidR="000F0D8B" w:rsidRPr="00FC4C3F">
        <w:rPr>
          <w:sz w:val="22"/>
          <w:szCs w:val="22"/>
          <w:lang w:eastAsia="ja-JP"/>
        </w:rPr>
        <w:t xml:space="preserve"> após a adulteração de cada chapa</w:t>
      </w:r>
      <w:r w:rsidR="00FC4C3F" w:rsidRPr="00FC4C3F">
        <w:rPr>
          <w:sz w:val="22"/>
          <w:szCs w:val="22"/>
          <w:lang w:eastAsia="ja-JP"/>
        </w:rPr>
        <w:t>,</w:t>
      </w:r>
      <w:r w:rsidR="000F0D8B" w:rsidRPr="00FC4C3F">
        <w:rPr>
          <w:sz w:val="22"/>
          <w:szCs w:val="22"/>
          <w:lang w:eastAsia="ja-JP"/>
        </w:rPr>
        <w:t xml:space="preserve"> foi de: 700</w:t>
      </w:r>
      <w:r w:rsidR="000F0D8B" w:rsidRPr="00FC4C3F">
        <w:rPr>
          <w:sz w:val="22"/>
          <w:szCs w:val="22"/>
        </w:rPr>
        <w:sym w:font="Symbol" w:char="F06D"/>
      </w:r>
      <w:r w:rsidR="000F0D8B" w:rsidRPr="00FC4C3F">
        <w:rPr>
          <w:sz w:val="22"/>
          <w:szCs w:val="22"/>
        </w:rPr>
        <w:t xml:space="preserve">m, 320 </w:t>
      </w:r>
      <w:r w:rsidR="000F0D8B" w:rsidRPr="00FC4C3F">
        <w:rPr>
          <w:sz w:val="22"/>
          <w:szCs w:val="22"/>
        </w:rPr>
        <w:sym w:font="Symbol" w:char="F06D"/>
      </w:r>
      <w:r w:rsidR="000F0D8B" w:rsidRPr="00FC4C3F">
        <w:rPr>
          <w:sz w:val="22"/>
          <w:szCs w:val="22"/>
        </w:rPr>
        <w:t>m e 270</w:t>
      </w:r>
      <w:r w:rsidR="000F0D8B" w:rsidRPr="00FC4C3F">
        <w:rPr>
          <w:sz w:val="22"/>
          <w:szCs w:val="22"/>
        </w:rPr>
        <w:sym w:font="Symbol" w:char="F06D"/>
      </w:r>
      <w:r w:rsidR="000F0D8B" w:rsidRPr="00FC4C3F">
        <w:rPr>
          <w:sz w:val="22"/>
          <w:szCs w:val="22"/>
        </w:rPr>
        <w:t xml:space="preserve">m, respectivamente. </w:t>
      </w:r>
      <w:r w:rsidR="00957321" w:rsidRPr="00FC4C3F">
        <w:rPr>
          <w:sz w:val="22"/>
          <w:szCs w:val="22"/>
          <w:lang w:eastAsia="ja-JP"/>
        </w:rPr>
        <w:t>Após a remoção</w:t>
      </w:r>
      <w:r w:rsidR="00CF1DBC" w:rsidRPr="00FC4C3F">
        <w:rPr>
          <w:sz w:val="22"/>
          <w:szCs w:val="22"/>
          <w:lang w:eastAsia="ja-JP"/>
        </w:rPr>
        <w:t>,</w:t>
      </w:r>
      <w:r w:rsidR="00957321" w:rsidRPr="00FC4C3F">
        <w:rPr>
          <w:sz w:val="22"/>
          <w:szCs w:val="22"/>
          <w:lang w:eastAsia="ja-JP"/>
        </w:rPr>
        <w:t xml:space="preserve"> as amostras foram analisadas </w:t>
      </w:r>
      <w:r w:rsidR="00957321" w:rsidRPr="00FC4C3F">
        <w:rPr>
          <w:sz w:val="22"/>
          <w:szCs w:val="22"/>
          <w:lang w:eastAsia="ja-JP"/>
        </w:rPr>
        <w:lastRenderedPageBreak/>
        <w:t>pelo método de CP/M/VMO,</w:t>
      </w:r>
      <w:r w:rsidR="00211CF2" w:rsidRPr="00FC4C3F">
        <w:rPr>
          <w:sz w:val="22"/>
          <w:szCs w:val="22"/>
          <w:lang w:eastAsia="ja-JP"/>
        </w:rPr>
        <w:t xml:space="preserve"> no qual</w:t>
      </w:r>
      <w:r w:rsidR="00CF1DBC" w:rsidRPr="00FC4C3F">
        <w:rPr>
          <w:sz w:val="22"/>
          <w:szCs w:val="22"/>
          <w:lang w:eastAsia="ja-JP"/>
        </w:rPr>
        <w:t xml:space="preserve"> foram utilizados os equipamentos: </w:t>
      </w:r>
      <w:r w:rsidR="00CF1DBC" w:rsidRPr="00FC4C3F">
        <w:rPr>
          <w:sz w:val="22"/>
          <w:szCs w:val="22"/>
        </w:rPr>
        <w:t xml:space="preserve">Magnetografia por correntes parasitas de superfícies metálicas (modelo Regula 7505), o leitor magneto-óptico (modelo Regula 7515) e </w:t>
      </w:r>
      <w:r w:rsidR="00CF1DBC" w:rsidRPr="00FC4C3F">
        <w:rPr>
          <w:i/>
          <w:sz w:val="22"/>
          <w:szCs w:val="22"/>
        </w:rPr>
        <w:t>software NUCA</w:t>
      </w:r>
      <w:r w:rsidR="00CF1DBC" w:rsidRPr="00FC4C3F">
        <w:rPr>
          <w:sz w:val="22"/>
          <w:szCs w:val="22"/>
        </w:rPr>
        <w:t xml:space="preserve"> para obtenção de imagem</w:t>
      </w:r>
      <w:r w:rsidR="0092013E" w:rsidRPr="00FC4C3F">
        <w:rPr>
          <w:sz w:val="22"/>
          <w:szCs w:val="22"/>
        </w:rPr>
        <w:t xml:space="preserve">. </w:t>
      </w:r>
    </w:p>
    <w:p w14:paraId="268C8AEA" w14:textId="45408199" w:rsidR="001E1DCB" w:rsidRPr="00FC4C3F" w:rsidRDefault="00BE1D5B" w:rsidP="002B618F">
      <w:pPr>
        <w:spacing w:line="240" w:lineRule="auto"/>
        <w:rPr>
          <w:sz w:val="22"/>
          <w:szCs w:val="22"/>
          <w:lang w:eastAsia="ja-JP"/>
        </w:rPr>
      </w:pPr>
      <w:r w:rsidRPr="00FC4C3F">
        <w:rPr>
          <w:sz w:val="22"/>
          <w:szCs w:val="22"/>
          <w:lang w:eastAsia="ja-JP"/>
        </w:rPr>
        <w:t>A</w:t>
      </w:r>
      <w:r w:rsidR="00211CF2" w:rsidRPr="00FC4C3F">
        <w:rPr>
          <w:sz w:val="22"/>
          <w:szCs w:val="22"/>
          <w:lang w:eastAsia="ja-JP"/>
        </w:rPr>
        <w:t>ntes de serem encaminhadas para etapa de revelação por ataque químico</w:t>
      </w:r>
      <w:r w:rsidR="00CF1DBC" w:rsidRPr="00FC4C3F">
        <w:rPr>
          <w:sz w:val="22"/>
          <w:szCs w:val="22"/>
          <w:lang w:eastAsia="ja-JP"/>
        </w:rPr>
        <w:t>, as chapas foram submetidas a um processo de preparação metalográfica com o objetivo de reduzir a rugosidade superficial causada pela adulteração.</w:t>
      </w:r>
      <w:r w:rsidR="000F0D8B" w:rsidRPr="00FC4C3F">
        <w:rPr>
          <w:sz w:val="22"/>
          <w:szCs w:val="22"/>
          <w:lang w:eastAsia="ja-JP"/>
        </w:rPr>
        <w:t xml:space="preserve"> Neste caso, a perda de espessura total</w:t>
      </w:r>
      <w:r w:rsidR="00FC4C3F" w:rsidRPr="00FC4C3F">
        <w:rPr>
          <w:sz w:val="22"/>
          <w:szCs w:val="22"/>
          <w:lang w:eastAsia="ja-JP"/>
        </w:rPr>
        <w:t>, após a preparação superficial,</w:t>
      </w:r>
      <w:r w:rsidR="000F0D8B" w:rsidRPr="00FC4C3F">
        <w:rPr>
          <w:sz w:val="22"/>
          <w:szCs w:val="22"/>
          <w:lang w:eastAsia="ja-JP"/>
        </w:rPr>
        <w:t xml:space="preserve"> foi de: 840</w:t>
      </w:r>
      <w:r w:rsidR="000F0D8B" w:rsidRPr="00FC4C3F">
        <w:rPr>
          <w:sz w:val="22"/>
          <w:szCs w:val="22"/>
        </w:rPr>
        <w:sym w:font="Symbol" w:char="F06D"/>
      </w:r>
      <w:r w:rsidR="000F0D8B" w:rsidRPr="00FC4C3F">
        <w:rPr>
          <w:sz w:val="22"/>
          <w:szCs w:val="22"/>
        </w:rPr>
        <w:t xml:space="preserve">m, 420 </w:t>
      </w:r>
      <w:r w:rsidR="000F0D8B" w:rsidRPr="00FC4C3F">
        <w:rPr>
          <w:sz w:val="22"/>
          <w:szCs w:val="22"/>
        </w:rPr>
        <w:sym w:font="Symbol" w:char="F06D"/>
      </w:r>
      <w:r w:rsidR="000F0D8B" w:rsidRPr="00FC4C3F">
        <w:rPr>
          <w:sz w:val="22"/>
          <w:szCs w:val="22"/>
        </w:rPr>
        <w:t>m e 380</w:t>
      </w:r>
      <w:r w:rsidR="000F0D8B" w:rsidRPr="00FC4C3F">
        <w:rPr>
          <w:sz w:val="22"/>
          <w:szCs w:val="22"/>
        </w:rPr>
        <w:sym w:font="Symbol" w:char="F06D"/>
      </w:r>
      <w:r w:rsidR="000F0D8B" w:rsidRPr="00FC4C3F">
        <w:rPr>
          <w:sz w:val="22"/>
          <w:szCs w:val="22"/>
        </w:rPr>
        <w:t xml:space="preserve">m, respectivamente. </w:t>
      </w:r>
      <w:r w:rsidR="00FC4C3F" w:rsidRPr="00FC4C3F">
        <w:rPr>
          <w:sz w:val="22"/>
          <w:szCs w:val="22"/>
        </w:rPr>
        <w:t>É importante ressaltar que as zonas deformadas, analisadas pela técnica de revelação por ataque químico, se encontravam 100</w:t>
      </w:r>
      <w:r w:rsidR="00FC4C3F" w:rsidRPr="00FC4C3F">
        <w:rPr>
          <w:sz w:val="22"/>
          <w:szCs w:val="22"/>
        </w:rPr>
        <w:sym w:font="Symbol" w:char="F06D"/>
      </w:r>
      <w:r w:rsidR="00FC4C3F" w:rsidRPr="00FC4C3F">
        <w:rPr>
          <w:sz w:val="22"/>
          <w:szCs w:val="22"/>
        </w:rPr>
        <w:t>m mais profundas do que as inspecionadas pelo método não destrutivo de CP/M/VMO.</w:t>
      </w:r>
      <w:r w:rsidR="00E34403">
        <w:rPr>
          <w:sz w:val="22"/>
          <w:szCs w:val="22"/>
        </w:rPr>
        <w:t xml:space="preserve"> </w:t>
      </w:r>
      <w:r w:rsidR="00CF1DBC" w:rsidRPr="00FC4C3F">
        <w:rPr>
          <w:sz w:val="22"/>
          <w:szCs w:val="22"/>
          <w:lang w:eastAsia="ja-JP"/>
        </w:rPr>
        <w:t>Por fim, as amostras foram in</w:t>
      </w:r>
      <w:r w:rsidR="00600908" w:rsidRPr="00FC4C3F">
        <w:rPr>
          <w:sz w:val="22"/>
          <w:szCs w:val="22"/>
          <w:lang w:eastAsia="ja-JP"/>
        </w:rPr>
        <w:t>s</w:t>
      </w:r>
      <w:r w:rsidR="00211CF2" w:rsidRPr="00FC4C3F">
        <w:rPr>
          <w:sz w:val="22"/>
          <w:szCs w:val="22"/>
          <w:lang w:eastAsia="ja-JP"/>
        </w:rPr>
        <w:t xml:space="preserve">pecionadas por ataque químico através da aplicação do </w:t>
      </w:r>
      <w:r w:rsidR="00600908" w:rsidRPr="00FC4C3F">
        <w:rPr>
          <w:sz w:val="22"/>
          <w:szCs w:val="22"/>
          <w:lang w:eastAsia="ja-JP"/>
        </w:rPr>
        <w:t>reagente de Fry’s</w:t>
      </w:r>
      <w:r w:rsidR="001E1DCB" w:rsidRPr="00FC4C3F">
        <w:rPr>
          <w:sz w:val="22"/>
          <w:szCs w:val="22"/>
          <w:lang w:eastAsia="ja-JP"/>
        </w:rPr>
        <w:t xml:space="preserve"> e a aquisição dos resultados foi realizada através de uma câmera fotográfica.</w:t>
      </w:r>
      <w:r w:rsidR="000F0D8B" w:rsidRPr="00FC4C3F">
        <w:rPr>
          <w:sz w:val="22"/>
          <w:szCs w:val="22"/>
          <w:lang w:eastAsia="ja-JP"/>
        </w:rPr>
        <w:t xml:space="preserve"> </w:t>
      </w:r>
      <w:r w:rsidR="001E1DCB" w:rsidRPr="00FC4C3F">
        <w:rPr>
          <w:sz w:val="22"/>
          <w:szCs w:val="22"/>
          <w:lang w:eastAsia="ja-JP"/>
        </w:rPr>
        <w:t>Com base nos resultados obtidos, foi possível restaurar as marcações originais por ambas as técnicas (</w:t>
      </w:r>
      <w:r w:rsidR="001E1DCB" w:rsidRPr="00FC4C3F">
        <w:rPr>
          <w:sz w:val="22"/>
          <w:szCs w:val="22"/>
          <w:lang w:eastAsia="ja-JP"/>
        </w:rPr>
        <w:fldChar w:fldCharType="begin"/>
      </w:r>
      <w:r w:rsidR="001E1DCB" w:rsidRPr="00FC4C3F">
        <w:rPr>
          <w:sz w:val="22"/>
          <w:szCs w:val="22"/>
          <w:lang w:eastAsia="ja-JP"/>
        </w:rPr>
        <w:instrText xml:space="preserve"> REF _Ref487620125 \h  \* MERGEFORMAT </w:instrText>
      </w:r>
      <w:r w:rsidR="001E1DCB" w:rsidRPr="00FC4C3F">
        <w:rPr>
          <w:sz w:val="22"/>
          <w:szCs w:val="22"/>
          <w:lang w:eastAsia="ja-JP"/>
        </w:rPr>
      </w:r>
      <w:r w:rsidR="001E1DCB" w:rsidRPr="00FC4C3F">
        <w:rPr>
          <w:sz w:val="22"/>
          <w:szCs w:val="22"/>
          <w:lang w:eastAsia="ja-JP"/>
        </w:rPr>
        <w:fldChar w:fldCharType="separate"/>
      </w:r>
      <w:r w:rsidRPr="00FC4C3F">
        <w:rPr>
          <w:sz w:val="22"/>
          <w:szCs w:val="22"/>
        </w:rPr>
        <w:t xml:space="preserve">Figura </w:t>
      </w:r>
      <w:r w:rsidRPr="00FC4C3F">
        <w:rPr>
          <w:noProof/>
          <w:sz w:val="22"/>
          <w:szCs w:val="22"/>
        </w:rPr>
        <w:t>2</w:t>
      </w:r>
      <w:r w:rsidR="001E1DCB" w:rsidRPr="00FC4C3F">
        <w:rPr>
          <w:sz w:val="22"/>
          <w:szCs w:val="22"/>
          <w:lang w:eastAsia="ja-JP"/>
        </w:rPr>
        <w:fldChar w:fldCharType="end"/>
      </w:r>
      <w:r w:rsidRPr="00FC4C3F">
        <w:rPr>
          <w:sz w:val="22"/>
          <w:szCs w:val="22"/>
          <w:lang w:eastAsia="ja-JP"/>
        </w:rPr>
        <w:t xml:space="preserve"> e </w:t>
      </w:r>
      <w:r w:rsidRPr="00FC4C3F">
        <w:rPr>
          <w:sz w:val="22"/>
          <w:szCs w:val="22"/>
          <w:lang w:eastAsia="ja-JP"/>
        </w:rPr>
        <w:fldChar w:fldCharType="begin"/>
      </w:r>
      <w:r w:rsidRPr="00FC4C3F">
        <w:rPr>
          <w:sz w:val="22"/>
          <w:szCs w:val="22"/>
          <w:lang w:eastAsia="ja-JP"/>
        </w:rPr>
        <w:instrText xml:space="preserve"> REF _Ref487620128 \h  \* MERGEFORMAT </w:instrText>
      </w:r>
      <w:r w:rsidRPr="00FC4C3F">
        <w:rPr>
          <w:sz w:val="22"/>
          <w:szCs w:val="22"/>
          <w:lang w:eastAsia="ja-JP"/>
        </w:rPr>
      </w:r>
      <w:r w:rsidRPr="00FC4C3F">
        <w:rPr>
          <w:sz w:val="22"/>
          <w:szCs w:val="22"/>
          <w:lang w:eastAsia="ja-JP"/>
        </w:rPr>
        <w:fldChar w:fldCharType="separate"/>
      </w:r>
      <w:r w:rsidRPr="00FC4C3F">
        <w:rPr>
          <w:sz w:val="22"/>
          <w:szCs w:val="22"/>
        </w:rPr>
        <w:t xml:space="preserve">Figura </w:t>
      </w:r>
      <w:r w:rsidRPr="00FC4C3F">
        <w:rPr>
          <w:noProof/>
          <w:sz w:val="22"/>
          <w:szCs w:val="22"/>
        </w:rPr>
        <w:t>3</w:t>
      </w:r>
      <w:r w:rsidRPr="00FC4C3F">
        <w:rPr>
          <w:sz w:val="22"/>
          <w:szCs w:val="22"/>
          <w:lang w:eastAsia="ja-JP"/>
        </w:rPr>
        <w:fldChar w:fldCharType="end"/>
      </w:r>
      <w:r w:rsidR="001E1DCB" w:rsidRPr="00FC4C3F">
        <w:rPr>
          <w:sz w:val="22"/>
          <w:szCs w:val="22"/>
          <w:lang w:eastAsia="ja-JP"/>
        </w:rPr>
        <w:t>).</w:t>
      </w:r>
      <w:r w:rsidR="00211CF2" w:rsidRPr="00FC4C3F">
        <w:rPr>
          <w:sz w:val="22"/>
          <w:szCs w:val="22"/>
          <w:lang w:eastAsia="ja-JP"/>
        </w:rPr>
        <w:t xml:space="preserve"> </w:t>
      </w:r>
      <w:r w:rsidR="001E1DCB" w:rsidRPr="00FC4C3F">
        <w:rPr>
          <w:sz w:val="22"/>
          <w:szCs w:val="22"/>
          <w:lang w:eastAsia="ja-JP"/>
        </w:rPr>
        <w:t>Entretanto, na revel</w:t>
      </w:r>
      <w:r w:rsidR="00397B4E" w:rsidRPr="00FC4C3F">
        <w:rPr>
          <w:sz w:val="22"/>
          <w:szCs w:val="22"/>
          <w:lang w:eastAsia="ja-JP"/>
        </w:rPr>
        <w:t>ação por ataque químico, o baixo</w:t>
      </w:r>
      <w:r w:rsidR="001E1DCB" w:rsidRPr="00FC4C3F">
        <w:rPr>
          <w:sz w:val="22"/>
          <w:szCs w:val="22"/>
          <w:lang w:eastAsia="ja-JP"/>
        </w:rPr>
        <w:t xml:space="preserve"> contraste entre os códigos revelados e o fundo da chapa dificultou o registro dos resultados</w:t>
      </w:r>
      <w:r w:rsidR="00BF4C82" w:rsidRPr="00FC4C3F">
        <w:rPr>
          <w:sz w:val="22"/>
          <w:szCs w:val="22"/>
          <w:lang w:eastAsia="ja-JP"/>
        </w:rPr>
        <w:t xml:space="preserve"> (</w:t>
      </w:r>
      <w:r w:rsidRPr="00FC4C3F">
        <w:rPr>
          <w:sz w:val="22"/>
          <w:szCs w:val="22"/>
          <w:lang w:eastAsia="ja-JP"/>
        </w:rPr>
        <w:fldChar w:fldCharType="begin"/>
      </w:r>
      <w:r w:rsidRPr="00FC4C3F">
        <w:rPr>
          <w:sz w:val="22"/>
          <w:szCs w:val="22"/>
          <w:lang w:eastAsia="ja-JP"/>
        </w:rPr>
        <w:instrText xml:space="preserve"> REF _Ref487620128 \h  \* MERGEFORMAT </w:instrText>
      </w:r>
      <w:r w:rsidRPr="00FC4C3F">
        <w:rPr>
          <w:sz w:val="22"/>
          <w:szCs w:val="22"/>
          <w:lang w:eastAsia="ja-JP"/>
        </w:rPr>
      </w:r>
      <w:r w:rsidRPr="00FC4C3F">
        <w:rPr>
          <w:sz w:val="22"/>
          <w:szCs w:val="22"/>
          <w:lang w:eastAsia="ja-JP"/>
        </w:rPr>
        <w:fldChar w:fldCharType="separate"/>
      </w:r>
      <w:r w:rsidRPr="00FC4C3F">
        <w:rPr>
          <w:sz w:val="22"/>
          <w:szCs w:val="22"/>
        </w:rPr>
        <w:t xml:space="preserve">Figura </w:t>
      </w:r>
      <w:r w:rsidRPr="00FC4C3F">
        <w:rPr>
          <w:noProof/>
          <w:sz w:val="22"/>
          <w:szCs w:val="22"/>
        </w:rPr>
        <w:t>3</w:t>
      </w:r>
      <w:r w:rsidRPr="00FC4C3F">
        <w:rPr>
          <w:sz w:val="22"/>
          <w:szCs w:val="22"/>
          <w:lang w:eastAsia="ja-JP"/>
        </w:rPr>
        <w:fldChar w:fldCharType="end"/>
      </w:r>
      <w:r w:rsidRPr="00FC4C3F">
        <w:rPr>
          <w:sz w:val="22"/>
          <w:szCs w:val="22"/>
          <w:lang w:eastAsia="ja-JP"/>
        </w:rPr>
        <w:t>a</w:t>
      </w:r>
      <w:r w:rsidR="00BF4C82" w:rsidRPr="00FC4C3F">
        <w:rPr>
          <w:sz w:val="22"/>
          <w:szCs w:val="22"/>
          <w:lang w:eastAsia="ja-JP"/>
        </w:rPr>
        <w:t>)</w:t>
      </w:r>
      <w:r w:rsidR="001E1DCB" w:rsidRPr="00FC4C3F">
        <w:rPr>
          <w:sz w:val="22"/>
          <w:szCs w:val="22"/>
          <w:lang w:eastAsia="ja-JP"/>
        </w:rPr>
        <w:t>, necessitando da aplicaçã</w:t>
      </w:r>
      <w:r w:rsidR="00583AC2" w:rsidRPr="00FC4C3F">
        <w:rPr>
          <w:sz w:val="22"/>
          <w:szCs w:val="22"/>
          <w:lang w:eastAsia="ja-JP"/>
        </w:rPr>
        <w:t>o de</w:t>
      </w:r>
      <w:r w:rsidR="001E1DCB" w:rsidRPr="00FC4C3F">
        <w:rPr>
          <w:sz w:val="22"/>
          <w:szCs w:val="22"/>
          <w:lang w:eastAsia="ja-JP"/>
        </w:rPr>
        <w:t xml:space="preserve"> polimento de alívio</w:t>
      </w:r>
      <w:r w:rsidR="006D63F8" w:rsidRPr="00FC4C3F">
        <w:rPr>
          <w:sz w:val="22"/>
          <w:szCs w:val="22"/>
          <w:lang w:eastAsia="ja-JP"/>
        </w:rPr>
        <w:t xml:space="preserve"> (</w:t>
      </w:r>
      <w:r w:rsidR="006D63F8" w:rsidRPr="00FC4C3F">
        <w:rPr>
          <w:sz w:val="22"/>
          <w:szCs w:val="22"/>
          <w:lang w:eastAsia="ja-JP"/>
        </w:rPr>
        <w:fldChar w:fldCharType="begin"/>
      </w:r>
      <w:r w:rsidR="006D63F8" w:rsidRPr="00FC4C3F">
        <w:rPr>
          <w:sz w:val="22"/>
          <w:szCs w:val="22"/>
          <w:lang w:eastAsia="ja-JP"/>
        </w:rPr>
        <w:instrText xml:space="preserve"> REF _Ref487620128 \h  \* MERGEFORMAT </w:instrText>
      </w:r>
      <w:r w:rsidR="006D63F8" w:rsidRPr="00FC4C3F">
        <w:rPr>
          <w:sz w:val="22"/>
          <w:szCs w:val="22"/>
          <w:lang w:eastAsia="ja-JP"/>
        </w:rPr>
      </w:r>
      <w:r w:rsidR="006D63F8" w:rsidRPr="00FC4C3F">
        <w:rPr>
          <w:sz w:val="22"/>
          <w:szCs w:val="22"/>
          <w:lang w:eastAsia="ja-JP"/>
        </w:rPr>
        <w:fldChar w:fldCharType="separate"/>
      </w:r>
      <w:r w:rsidRPr="00FC4C3F">
        <w:rPr>
          <w:sz w:val="22"/>
          <w:szCs w:val="22"/>
        </w:rPr>
        <w:t xml:space="preserve">Figura </w:t>
      </w:r>
      <w:r w:rsidRPr="00FC4C3F">
        <w:rPr>
          <w:noProof/>
          <w:sz w:val="22"/>
          <w:szCs w:val="22"/>
        </w:rPr>
        <w:t>3</w:t>
      </w:r>
      <w:r w:rsidR="006D63F8" w:rsidRPr="00FC4C3F">
        <w:rPr>
          <w:sz w:val="22"/>
          <w:szCs w:val="22"/>
          <w:lang w:eastAsia="ja-JP"/>
        </w:rPr>
        <w:fldChar w:fldCharType="end"/>
      </w:r>
      <w:r w:rsidR="004B3C0E" w:rsidRPr="00FC4C3F">
        <w:rPr>
          <w:sz w:val="22"/>
          <w:szCs w:val="22"/>
          <w:lang w:eastAsia="ja-JP"/>
        </w:rPr>
        <w:t>b</w:t>
      </w:r>
      <w:r w:rsidR="006D63F8" w:rsidRPr="00FC4C3F">
        <w:rPr>
          <w:sz w:val="22"/>
          <w:szCs w:val="22"/>
          <w:lang w:eastAsia="ja-JP"/>
        </w:rPr>
        <w:t>)</w:t>
      </w:r>
      <w:r w:rsidR="001E1DCB" w:rsidRPr="00FC4C3F">
        <w:rPr>
          <w:sz w:val="22"/>
          <w:szCs w:val="22"/>
          <w:lang w:eastAsia="ja-JP"/>
        </w:rPr>
        <w:t xml:space="preserve">. </w:t>
      </w:r>
      <w:r w:rsidR="001E1DCB" w:rsidRPr="00FC4C3F">
        <w:rPr>
          <w:sz w:val="22"/>
          <w:szCs w:val="22"/>
        </w:rPr>
        <w:t>Durante o polimento, partículas d</w:t>
      </w:r>
      <w:r w:rsidR="00D46CE0" w:rsidRPr="00FC4C3F">
        <w:rPr>
          <w:sz w:val="22"/>
          <w:szCs w:val="22"/>
        </w:rPr>
        <w:t>e óxido foram removidas a</w:t>
      </w:r>
      <w:r w:rsidR="001E1DCB" w:rsidRPr="00FC4C3F">
        <w:rPr>
          <w:sz w:val="22"/>
          <w:szCs w:val="22"/>
        </w:rPr>
        <w:t xml:space="preserve"> diferentes</w:t>
      </w:r>
      <w:r w:rsidR="00D46CE0" w:rsidRPr="00FC4C3F">
        <w:rPr>
          <w:sz w:val="22"/>
          <w:szCs w:val="22"/>
        </w:rPr>
        <w:t xml:space="preserve"> taxas</w:t>
      </w:r>
      <w:r w:rsidR="001E1DCB" w:rsidRPr="00FC4C3F">
        <w:rPr>
          <w:sz w:val="22"/>
          <w:szCs w:val="22"/>
        </w:rPr>
        <w:t xml:space="preserve">, devido à variação da afinidade química entre o óxido e a </w:t>
      </w:r>
      <w:r w:rsidR="00F61A67" w:rsidRPr="00FC4C3F">
        <w:rPr>
          <w:sz w:val="22"/>
          <w:szCs w:val="22"/>
        </w:rPr>
        <w:t>zonas</w:t>
      </w:r>
      <w:r w:rsidR="001E1DCB" w:rsidRPr="00FC4C3F">
        <w:rPr>
          <w:sz w:val="22"/>
          <w:szCs w:val="22"/>
        </w:rPr>
        <w:t xml:space="preserve"> deformadas e não deformadas, tornando possível a melhora do contraste com a incidência de luz.</w:t>
      </w:r>
    </w:p>
    <w:p w14:paraId="6857587D" w14:textId="75FB57E9" w:rsidR="00111113" w:rsidRDefault="0025206E" w:rsidP="00111113">
      <w:pPr>
        <w:keepNext/>
        <w:spacing w:line="240" w:lineRule="auto"/>
        <w:jc w:val="center"/>
      </w:pPr>
      <w:r>
        <w:rPr>
          <w:noProof/>
        </w:rPr>
        <w:drawing>
          <wp:inline distT="0" distB="0" distL="0" distR="0" wp14:anchorId="46687F2E" wp14:editId="02B58AC9">
            <wp:extent cx="2880000" cy="1212600"/>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m-vm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212600"/>
                    </a:xfrm>
                    <a:prstGeom prst="rect">
                      <a:avLst/>
                    </a:prstGeom>
                  </pic:spPr>
                </pic:pic>
              </a:graphicData>
            </a:graphic>
          </wp:inline>
        </w:drawing>
      </w:r>
    </w:p>
    <w:p w14:paraId="6D4D4922" w14:textId="7F1943EC" w:rsidR="00583AC2" w:rsidRPr="00805172" w:rsidRDefault="00111113" w:rsidP="00E7736B">
      <w:pPr>
        <w:pStyle w:val="Legenda"/>
        <w:jc w:val="center"/>
        <w:rPr>
          <w:i w:val="0"/>
          <w:color w:val="auto"/>
        </w:rPr>
      </w:pPr>
      <w:bookmarkStart w:id="2" w:name="_Ref487620125"/>
      <w:r w:rsidRPr="00111113">
        <w:rPr>
          <w:b/>
          <w:i w:val="0"/>
          <w:color w:val="auto"/>
        </w:rPr>
        <w:t xml:space="preserve">Figura </w:t>
      </w:r>
      <w:r w:rsidRPr="00111113">
        <w:rPr>
          <w:b/>
          <w:i w:val="0"/>
          <w:color w:val="auto"/>
        </w:rPr>
        <w:fldChar w:fldCharType="begin"/>
      </w:r>
      <w:r w:rsidRPr="00111113">
        <w:rPr>
          <w:b/>
          <w:i w:val="0"/>
          <w:color w:val="auto"/>
        </w:rPr>
        <w:instrText xml:space="preserve"> SEQ Figura \* ARABIC </w:instrText>
      </w:r>
      <w:r w:rsidRPr="00111113">
        <w:rPr>
          <w:b/>
          <w:i w:val="0"/>
          <w:color w:val="auto"/>
        </w:rPr>
        <w:fldChar w:fldCharType="separate"/>
      </w:r>
      <w:r w:rsidR="0025206E">
        <w:rPr>
          <w:b/>
          <w:i w:val="0"/>
          <w:noProof/>
          <w:color w:val="auto"/>
        </w:rPr>
        <w:t>2</w:t>
      </w:r>
      <w:r w:rsidRPr="00111113">
        <w:rPr>
          <w:b/>
          <w:i w:val="0"/>
          <w:color w:val="auto"/>
        </w:rPr>
        <w:fldChar w:fldCharType="end"/>
      </w:r>
      <w:bookmarkEnd w:id="2"/>
      <w:r>
        <w:rPr>
          <w:b/>
          <w:i w:val="0"/>
          <w:color w:val="auto"/>
        </w:rPr>
        <w:t>.</w:t>
      </w:r>
      <w:r>
        <w:rPr>
          <w:i w:val="0"/>
          <w:color w:val="auto"/>
        </w:rPr>
        <w:t xml:space="preserve"> (a) Amostras após adulteração por remoçã</w:t>
      </w:r>
      <w:r w:rsidR="00E7736B">
        <w:rPr>
          <w:i w:val="0"/>
          <w:color w:val="auto"/>
        </w:rPr>
        <w:t>o; (</w:t>
      </w:r>
      <w:r w:rsidR="00BE1D5B">
        <w:rPr>
          <w:i w:val="0"/>
          <w:color w:val="auto"/>
        </w:rPr>
        <w:t>b</w:t>
      </w:r>
      <w:r>
        <w:rPr>
          <w:i w:val="0"/>
          <w:color w:val="auto"/>
        </w:rPr>
        <w:t xml:space="preserve">) </w:t>
      </w:r>
      <w:r w:rsidR="00BE1D5B">
        <w:rPr>
          <w:i w:val="0"/>
          <w:color w:val="auto"/>
        </w:rPr>
        <w:t>Revelação por CP/M/VMO</w:t>
      </w:r>
    </w:p>
    <w:p w14:paraId="08C08B15" w14:textId="4C033CEB" w:rsidR="00111113" w:rsidRDefault="0025206E" w:rsidP="00111113">
      <w:pPr>
        <w:pStyle w:val="Legenda"/>
        <w:keepNext/>
        <w:jc w:val="center"/>
      </w:pPr>
      <w:r>
        <w:rPr>
          <w:noProof/>
        </w:rPr>
        <w:drawing>
          <wp:inline distT="0" distB="0" distL="0" distR="0" wp14:anchorId="3344D33F" wp14:editId="5343DAED">
            <wp:extent cx="2880000" cy="144986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aque quimico e poliment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449860"/>
                    </a:xfrm>
                    <a:prstGeom prst="rect">
                      <a:avLst/>
                    </a:prstGeom>
                  </pic:spPr>
                </pic:pic>
              </a:graphicData>
            </a:graphic>
          </wp:inline>
        </w:drawing>
      </w:r>
    </w:p>
    <w:p w14:paraId="5DA46644" w14:textId="70205D19" w:rsidR="00111113" w:rsidRPr="00111113" w:rsidRDefault="00111113" w:rsidP="00111113">
      <w:pPr>
        <w:pStyle w:val="Legenda"/>
        <w:jc w:val="center"/>
        <w:rPr>
          <w:i w:val="0"/>
          <w:color w:val="auto"/>
        </w:rPr>
      </w:pPr>
      <w:bookmarkStart w:id="3" w:name="_Ref487620128"/>
      <w:r w:rsidRPr="00111113">
        <w:rPr>
          <w:b/>
          <w:i w:val="0"/>
          <w:color w:val="auto"/>
        </w:rPr>
        <w:t xml:space="preserve">Figura </w:t>
      </w:r>
      <w:r w:rsidRPr="00111113">
        <w:rPr>
          <w:b/>
          <w:i w:val="0"/>
          <w:color w:val="auto"/>
        </w:rPr>
        <w:fldChar w:fldCharType="begin"/>
      </w:r>
      <w:r w:rsidRPr="00111113">
        <w:rPr>
          <w:b/>
          <w:i w:val="0"/>
          <w:color w:val="auto"/>
        </w:rPr>
        <w:instrText xml:space="preserve"> SEQ Figura \* ARABIC </w:instrText>
      </w:r>
      <w:r w:rsidRPr="00111113">
        <w:rPr>
          <w:b/>
          <w:i w:val="0"/>
          <w:color w:val="auto"/>
        </w:rPr>
        <w:fldChar w:fldCharType="separate"/>
      </w:r>
      <w:r w:rsidR="0025206E">
        <w:rPr>
          <w:b/>
          <w:i w:val="0"/>
          <w:noProof/>
          <w:color w:val="auto"/>
        </w:rPr>
        <w:t>3</w:t>
      </w:r>
      <w:r w:rsidRPr="00111113">
        <w:rPr>
          <w:b/>
          <w:i w:val="0"/>
          <w:color w:val="auto"/>
        </w:rPr>
        <w:fldChar w:fldCharType="end"/>
      </w:r>
      <w:bookmarkEnd w:id="3"/>
      <w:r>
        <w:rPr>
          <w:b/>
          <w:i w:val="0"/>
          <w:color w:val="auto"/>
        </w:rPr>
        <w:t>.</w:t>
      </w:r>
      <w:r>
        <w:rPr>
          <w:i w:val="0"/>
          <w:color w:val="auto"/>
        </w:rPr>
        <w:t xml:space="preserve"> (a) </w:t>
      </w:r>
      <w:r w:rsidR="004B3C0E">
        <w:rPr>
          <w:i w:val="0"/>
          <w:color w:val="auto"/>
        </w:rPr>
        <w:t>Revelação por ataque químico</w:t>
      </w:r>
      <w:r>
        <w:rPr>
          <w:i w:val="0"/>
          <w:color w:val="auto"/>
        </w:rPr>
        <w:t xml:space="preserve">; </w:t>
      </w:r>
      <w:r w:rsidR="004B3C0E">
        <w:rPr>
          <w:i w:val="0"/>
          <w:color w:val="auto"/>
        </w:rPr>
        <w:t>(b</w:t>
      </w:r>
      <w:r>
        <w:rPr>
          <w:i w:val="0"/>
          <w:color w:val="auto"/>
        </w:rPr>
        <w:t xml:space="preserve">) Restauração após polimento de alívio. </w:t>
      </w:r>
    </w:p>
    <w:p w14:paraId="1529B017" w14:textId="72588A19" w:rsidR="00E34403" w:rsidRPr="00E34403" w:rsidRDefault="006D63F8" w:rsidP="00E34403">
      <w:pPr>
        <w:pStyle w:val="Corpodetexto"/>
        <w:suppressAutoHyphens/>
        <w:contextualSpacing/>
        <w:rPr>
          <w:rFonts w:ascii="Times New Roman" w:hAnsi="Times New Roman" w:cs="Times New Roman"/>
          <w:b w:val="0"/>
          <w:color w:val="000000"/>
          <w:sz w:val="24"/>
        </w:rPr>
      </w:pPr>
      <w:r w:rsidRPr="00E34403">
        <w:rPr>
          <w:rFonts w:ascii="Times New Roman" w:hAnsi="Times New Roman" w:cs="Times New Roman"/>
          <w:b w:val="0"/>
          <w:szCs w:val="22"/>
        </w:rPr>
        <w:t xml:space="preserve">Em conclusão, </w:t>
      </w:r>
      <w:r w:rsidR="00620C7F">
        <w:rPr>
          <w:rFonts w:ascii="Times New Roman" w:hAnsi="Times New Roman" w:cs="Times New Roman"/>
          <w:b w:val="0"/>
          <w:szCs w:val="22"/>
        </w:rPr>
        <w:t>n</w:t>
      </w:r>
      <w:r w:rsidR="00E34403" w:rsidRPr="00E34403">
        <w:rPr>
          <w:rFonts w:ascii="Times New Roman" w:hAnsi="Times New Roman" w:cs="Times New Roman"/>
          <w:b w:val="0"/>
          <w:szCs w:val="22"/>
        </w:rPr>
        <w:t>a revelação por ataque químico</w:t>
      </w:r>
      <w:r w:rsidR="00E34403" w:rsidRPr="00E34403">
        <w:rPr>
          <w:rFonts w:ascii="Times New Roman" w:hAnsi="Times New Roman" w:cs="Times New Roman"/>
          <w:b w:val="0"/>
          <w:color w:val="000000"/>
        </w:rPr>
        <w:t xml:space="preserve"> foi possível restaurar as marcações originais, entretanto o</w:t>
      </w:r>
      <w:r w:rsidR="00E34403">
        <w:rPr>
          <w:rFonts w:ascii="Times New Roman" w:hAnsi="Times New Roman" w:cs="Times New Roman"/>
          <w:b w:val="0"/>
          <w:color w:val="000000"/>
        </w:rPr>
        <w:t xml:space="preserve"> reagente escolhido resultou em revelações de baixo contraste</w:t>
      </w:r>
      <w:r w:rsidR="00620C7F">
        <w:rPr>
          <w:rFonts w:ascii="Times New Roman" w:hAnsi="Times New Roman" w:cs="Times New Roman"/>
          <w:b w:val="0"/>
          <w:color w:val="000000"/>
        </w:rPr>
        <w:t>. Este caso mostra a</w:t>
      </w:r>
      <w:r w:rsidR="00E34403" w:rsidRPr="00E34403">
        <w:rPr>
          <w:rFonts w:ascii="Times New Roman" w:hAnsi="Times New Roman" w:cs="Times New Roman"/>
          <w:b w:val="0"/>
          <w:color w:val="000000"/>
        </w:rPr>
        <w:t xml:space="preserve"> dependência dessa técnica quanto à composição química da peça analisada, sendo necessário o t</w:t>
      </w:r>
      <w:r w:rsidR="00620C7F">
        <w:rPr>
          <w:rFonts w:ascii="Times New Roman" w:hAnsi="Times New Roman" w:cs="Times New Roman"/>
          <w:b w:val="0"/>
          <w:color w:val="000000"/>
        </w:rPr>
        <w:t>este de outros reagentes</w:t>
      </w:r>
      <w:r w:rsidR="00E34403" w:rsidRPr="00E34403">
        <w:rPr>
          <w:rFonts w:ascii="Times New Roman" w:hAnsi="Times New Roman" w:cs="Times New Roman"/>
          <w:b w:val="0"/>
          <w:color w:val="000000"/>
        </w:rPr>
        <w:t>.</w:t>
      </w:r>
      <w:r w:rsidR="00620C7F">
        <w:rPr>
          <w:rFonts w:ascii="Times New Roman" w:hAnsi="Times New Roman" w:cs="Times New Roman"/>
          <w:b w:val="0"/>
          <w:color w:val="000000"/>
        </w:rPr>
        <w:t xml:space="preserve"> Entretanto, na restauração por </w:t>
      </w:r>
      <w:r w:rsidR="00620C7F" w:rsidRPr="00E34403">
        <w:rPr>
          <w:rFonts w:ascii="Times New Roman" w:hAnsi="Times New Roman" w:cs="Times New Roman"/>
          <w:b w:val="0"/>
          <w:szCs w:val="22"/>
        </w:rPr>
        <w:t>CP/M/VMO</w:t>
      </w:r>
      <w:r w:rsidR="00620C7F">
        <w:rPr>
          <w:rFonts w:ascii="Times New Roman" w:hAnsi="Times New Roman" w:cs="Times New Roman"/>
          <w:b w:val="0"/>
          <w:szCs w:val="22"/>
        </w:rPr>
        <w:t xml:space="preserve">, </w:t>
      </w:r>
      <w:r w:rsidR="00620C7F" w:rsidRPr="00E34403">
        <w:rPr>
          <w:rFonts w:ascii="Times New Roman" w:hAnsi="Times New Roman" w:cs="Times New Roman"/>
          <w:b w:val="0"/>
          <w:szCs w:val="22"/>
        </w:rPr>
        <w:t>apresentou satisfatório desempenho na revelação de marcações originais adulteradas</w:t>
      </w:r>
      <w:r w:rsidR="00620C7F">
        <w:rPr>
          <w:rFonts w:ascii="Times New Roman" w:hAnsi="Times New Roman" w:cs="Times New Roman"/>
          <w:b w:val="0"/>
          <w:szCs w:val="22"/>
        </w:rPr>
        <w:t xml:space="preserve"> por remoção</w:t>
      </w:r>
      <w:r w:rsidR="00620C7F" w:rsidRPr="00E34403">
        <w:rPr>
          <w:rFonts w:ascii="Times New Roman" w:hAnsi="Times New Roman" w:cs="Times New Roman"/>
          <w:b w:val="0"/>
          <w:szCs w:val="22"/>
        </w:rPr>
        <w:t xml:space="preserve"> em</w:t>
      </w:r>
      <w:r w:rsidR="00620C7F">
        <w:rPr>
          <w:rFonts w:ascii="Times New Roman" w:hAnsi="Times New Roman" w:cs="Times New Roman"/>
          <w:b w:val="0"/>
          <w:szCs w:val="22"/>
        </w:rPr>
        <w:t xml:space="preserve"> chapas</w:t>
      </w:r>
      <w:r w:rsidR="00620C7F" w:rsidRPr="00E34403">
        <w:rPr>
          <w:rFonts w:ascii="Times New Roman" w:hAnsi="Times New Roman" w:cs="Times New Roman"/>
          <w:b w:val="0"/>
          <w:szCs w:val="22"/>
        </w:rPr>
        <w:t xml:space="preserve"> extraídas de </w:t>
      </w:r>
      <w:r w:rsidR="00620C7F">
        <w:rPr>
          <w:rFonts w:ascii="Times New Roman" w:hAnsi="Times New Roman" w:cs="Times New Roman"/>
          <w:b w:val="0"/>
          <w:szCs w:val="22"/>
        </w:rPr>
        <w:t xml:space="preserve">um </w:t>
      </w:r>
      <w:r w:rsidR="00620C7F" w:rsidRPr="00E34403">
        <w:rPr>
          <w:rFonts w:ascii="Times New Roman" w:hAnsi="Times New Roman" w:cs="Times New Roman"/>
          <w:b w:val="0"/>
          <w:szCs w:val="22"/>
        </w:rPr>
        <w:t xml:space="preserve">chassi. O procedimento realizado permitiu a revelação </w:t>
      </w:r>
      <w:r w:rsidR="00620C7F">
        <w:rPr>
          <w:rFonts w:ascii="Times New Roman" w:hAnsi="Times New Roman" w:cs="Times New Roman"/>
          <w:b w:val="0"/>
          <w:szCs w:val="22"/>
        </w:rPr>
        <w:t>a</w:t>
      </w:r>
      <w:r w:rsidR="00620C7F" w:rsidRPr="00E34403">
        <w:rPr>
          <w:rFonts w:ascii="Times New Roman" w:hAnsi="Times New Roman" w:cs="Times New Roman"/>
          <w:b w:val="0"/>
          <w:szCs w:val="22"/>
        </w:rPr>
        <w:t xml:space="preserve"> diferentes profundidades.</w:t>
      </w:r>
    </w:p>
    <w:p w14:paraId="59EC0419" w14:textId="77777777" w:rsidR="00FC4C3F" w:rsidRDefault="00FC4C3F" w:rsidP="00FC4C3F">
      <w:pPr>
        <w:pStyle w:val="Nivel1"/>
        <w:spacing w:line="240" w:lineRule="auto"/>
        <w:rPr>
          <w:sz w:val="20"/>
          <w:szCs w:val="22"/>
        </w:rPr>
      </w:pPr>
      <w:r>
        <w:rPr>
          <w:sz w:val="20"/>
          <w:szCs w:val="22"/>
        </w:rPr>
        <w:t>AGRADECIMENTOS</w:t>
      </w:r>
    </w:p>
    <w:p w14:paraId="668BC860" w14:textId="5CDC6367" w:rsidR="00FC4C3F" w:rsidRPr="00FC4C3F" w:rsidRDefault="00FC4C3F" w:rsidP="00FC4C3F">
      <w:pPr>
        <w:pStyle w:val="Nivel1"/>
        <w:spacing w:line="240" w:lineRule="auto"/>
        <w:rPr>
          <w:b w:val="0"/>
          <w:sz w:val="20"/>
          <w:szCs w:val="20"/>
        </w:rPr>
      </w:pPr>
      <w:r w:rsidRPr="00FC4C3F">
        <w:rPr>
          <w:b w:val="0"/>
          <w:sz w:val="20"/>
          <w:szCs w:val="20"/>
        </w:rPr>
        <w:t xml:space="preserve">Os autores agradecem à </w:t>
      </w:r>
      <w:r w:rsidRPr="00FC4C3F">
        <w:rPr>
          <w:b w:val="0"/>
          <w:color w:val="000000"/>
          <w:sz w:val="20"/>
          <w:szCs w:val="20"/>
        </w:rPr>
        <w:t>A CAPES, CNPQ e a FAPERJ pelo apoio financeiro. A Regula, aos peritos da deleg</w:t>
      </w:r>
      <w:r w:rsidR="005627F3">
        <w:rPr>
          <w:b w:val="0"/>
          <w:color w:val="000000"/>
          <w:sz w:val="20"/>
          <w:szCs w:val="20"/>
        </w:rPr>
        <w:t>acia de roubos e furtos de autos</w:t>
      </w:r>
      <w:r w:rsidRPr="00FC4C3F">
        <w:rPr>
          <w:b w:val="0"/>
          <w:color w:val="000000"/>
          <w:sz w:val="20"/>
          <w:szCs w:val="20"/>
        </w:rPr>
        <w:t xml:space="preserve"> (DRFA) e da delegacia de homicídios (DH) pelo auxílio técnico</w:t>
      </w:r>
    </w:p>
    <w:p w14:paraId="60D6CC78" w14:textId="77777777" w:rsidR="00FC4C3F" w:rsidRPr="004D677A" w:rsidRDefault="00FC4C3F" w:rsidP="00FC4C3F">
      <w:pPr>
        <w:pStyle w:val="Nivel1"/>
        <w:spacing w:line="240" w:lineRule="auto"/>
        <w:rPr>
          <w:sz w:val="20"/>
          <w:szCs w:val="22"/>
          <w:lang w:val="en-US"/>
        </w:rPr>
      </w:pPr>
      <w:bookmarkStart w:id="4" w:name="_Toc311228598"/>
      <w:r w:rsidRPr="004D677A">
        <w:rPr>
          <w:sz w:val="20"/>
          <w:szCs w:val="22"/>
          <w:lang w:val="en-US"/>
        </w:rPr>
        <w:t>REFERÊNCIAS BIBLIOGRÁFICAS</w:t>
      </w:r>
      <w:bookmarkEnd w:id="4"/>
    </w:p>
    <w:p w14:paraId="03098C53" w14:textId="234C44C0" w:rsidR="0092013E" w:rsidRPr="0092013E" w:rsidRDefault="00EF1DEC" w:rsidP="0092013E">
      <w:pPr>
        <w:widowControl w:val="0"/>
        <w:autoSpaceDE w:val="0"/>
        <w:autoSpaceDN w:val="0"/>
        <w:adjustRightInd w:val="0"/>
        <w:spacing w:line="240" w:lineRule="auto"/>
        <w:rPr>
          <w:noProof/>
          <w:sz w:val="20"/>
          <w:lang w:val="en-US"/>
        </w:rPr>
      </w:pPr>
      <w:r>
        <w:rPr>
          <w:sz w:val="20"/>
          <w:szCs w:val="22"/>
        </w:rPr>
        <w:fldChar w:fldCharType="begin" w:fldLock="1"/>
      </w:r>
      <w:r w:rsidRPr="004D677A">
        <w:rPr>
          <w:sz w:val="20"/>
          <w:szCs w:val="22"/>
          <w:lang w:val="en-US"/>
        </w:rPr>
        <w:instrText xml:space="preserve">ADDIN Mendeley Bibliography CSL_BIBLIOGRAPHY </w:instrText>
      </w:r>
      <w:r>
        <w:rPr>
          <w:sz w:val="20"/>
          <w:szCs w:val="22"/>
        </w:rPr>
        <w:fldChar w:fldCharType="separate"/>
      </w:r>
      <w:r w:rsidR="0092013E" w:rsidRPr="004D677A">
        <w:rPr>
          <w:noProof/>
          <w:sz w:val="20"/>
          <w:lang w:val="en-US"/>
        </w:rPr>
        <w:t xml:space="preserve">1    Strauffer, E., Bonfanti, M. </w:t>
      </w:r>
      <w:r w:rsidR="0092013E" w:rsidRPr="004D677A">
        <w:rPr>
          <w:i/>
          <w:noProof/>
          <w:sz w:val="20"/>
          <w:lang w:val="en-US"/>
        </w:rPr>
        <w:t>Restoration of Serial Numbers</w:t>
      </w:r>
      <w:r w:rsidR="0092013E" w:rsidRPr="004D677A">
        <w:rPr>
          <w:noProof/>
          <w:sz w:val="20"/>
          <w:lang w:val="en-US"/>
        </w:rPr>
        <w:t xml:space="preserve">. </w:t>
      </w:r>
      <w:r w:rsidR="0092013E" w:rsidRPr="0092013E">
        <w:rPr>
          <w:noProof/>
          <w:sz w:val="20"/>
          <w:lang w:val="en-US"/>
        </w:rPr>
        <w:t xml:space="preserve">In: </w:t>
      </w:r>
      <w:r w:rsidR="0092013E" w:rsidRPr="0092013E">
        <w:rPr>
          <w:bCs/>
          <w:noProof/>
          <w:sz w:val="20"/>
          <w:lang w:val="en-US"/>
        </w:rPr>
        <w:t>Forensic Investigation of Stolen-Recovered and Other Crime Related Vehicles</w:t>
      </w:r>
      <w:r w:rsidR="0092013E" w:rsidRPr="0092013E">
        <w:rPr>
          <w:noProof/>
          <w:sz w:val="20"/>
          <w:lang w:val="en-US"/>
        </w:rPr>
        <w:t>. 2006, p. 177–207.</w:t>
      </w:r>
    </w:p>
    <w:p w14:paraId="2058F5AA" w14:textId="77777777" w:rsidR="0092013E" w:rsidRPr="0092013E" w:rsidRDefault="0092013E" w:rsidP="0092013E">
      <w:pPr>
        <w:widowControl w:val="0"/>
        <w:autoSpaceDE w:val="0"/>
        <w:autoSpaceDN w:val="0"/>
        <w:adjustRightInd w:val="0"/>
        <w:spacing w:line="240" w:lineRule="auto"/>
        <w:rPr>
          <w:noProof/>
          <w:sz w:val="20"/>
          <w:lang w:val="en-US"/>
        </w:rPr>
      </w:pPr>
      <w:r w:rsidRPr="0092013E">
        <w:rPr>
          <w:noProof/>
          <w:sz w:val="20"/>
          <w:lang w:val="en-US"/>
        </w:rPr>
        <w:t xml:space="preserve">2    Kuppuswamy, R. </w:t>
      </w:r>
      <w:r w:rsidRPr="0092013E">
        <w:rPr>
          <w:i/>
          <w:noProof/>
          <w:sz w:val="20"/>
          <w:lang w:val="en-US"/>
        </w:rPr>
        <w:t>Metallographic Etching of Aluminium and Its Alloys for Restoration of Obliterated Marks in Forensic Science Practice and Investigations</w:t>
      </w:r>
      <w:r w:rsidRPr="0092013E">
        <w:rPr>
          <w:noProof/>
          <w:sz w:val="20"/>
          <w:lang w:val="en-US"/>
        </w:rPr>
        <w:t xml:space="preserve">. In: </w:t>
      </w:r>
      <w:r w:rsidRPr="0092013E">
        <w:rPr>
          <w:bCs/>
          <w:noProof/>
          <w:sz w:val="20"/>
          <w:lang w:val="en-US"/>
        </w:rPr>
        <w:t>Aluminium Alloys, theory and applications</w:t>
      </w:r>
      <w:r w:rsidRPr="0092013E">
        <w:rPr>
          <w:noProof/>
          <w:sz w:val="20"/>
          <w:lang w:val="en-US"/>
        </w:rPr>
        <w:t>. 2010, p. 331–353.</w:t>
      </w:r>
    </w:p>
    <w:p w14:paraId="0FD5465E" w14:textId="77777777" w:rsidR="0092013E" w:rsidRPr="0092013E" w:rsidRDefault="0092013E" w:rsidP="0092013E">
      <w:pPr>
        <w:widowControl w:val="0"/>
        <w:autoSpaceDE w:val="0"/>
        <w:autoSpaceDN w:val="0"/>
        <w:adjustRightInd w:val="0"/>
        <w:spacing w:line="240" w:lineRule="auto"/>
        <w:rPr>
          <w:noProof/>
          <w:sz w:val="20"/>
          <w:lang w:val="en-US"/>
        </w:rPr>
      </w:pPr>
      <w:r w:rsidRPr="0092013E">
        <w:rPr>
          <w:noProof/>
          <w:sz w:val="20"/>
          <w:lang w:val="en-US"/>
        </w:rPr>
        <w:t xml:space="preserve">3    Weimar, B.; Herrmann, D. </w:t>
      </w:r>
      <w:r w:rsidRPr="0092013E">
        <w:rPr>
          <w:i/>
          <w:noProof/>
          <w:sz w:val="20"/>
          <w:lang w:val="en-US"/>
        </w:rPr>
        <w:t>A simple magneto-optical method for the restoration of erased markings in metals.</w:t>
      </w:r>
      <w:r w:rsidRPr="0092013E">
        <w:rPr>
          <w:noProof/>
          <w:sz w:val="20"/>
          <w:lang w:val="en-US"/>
        </w:rPr>
        <w:t xml:space="preserve"> </w:t>
      </w:r>
      <w:r w:rsidRPr="0092013E">
        <w:rPr>
          <w:bCs/>
          <w:noProof/>
          <w:sz w:val="20"/>
          <w:lang w:val="en-US"/>
        </w:rPr>
        <w:t>Forensic Science International</w:t>
      </w:r>
      <w:r w:rsidRPr="0092013E">
        <w:rPr>
          <w:noProof/>
          <w:sz w:val="20"/>
          <w:lang w:val="en-US"/>
        </w:rPr>
        <w:t>, v. 207, n. 1–3, p. 119–121, 2011.</w:t>
      </w:r>
    </w:p>
    <w:p w14:paraId="52087FD4" w14:textId="33D47A60" w:rsidR="001D2633" w:rsidRPr="005627F3" w:rsidRDefault="0092013E" w:rsidP="00F61A67">
      <w:pPr>
        <w:widowControl w:val="0"/>
        <w:autoSpaceDE w:val="0"/>
        <w:autoSpaceDN w:val="0"/>
        <w:adjustRightInd w:val="0"/>
        <w:spacing w:line="240" w:lineRule="auto"/>
        <w:rPr>
          <w:sz w:val="20"/>
          <w:szCs w:val="22"/>
          <w:lang w:val="en-US"/>
        </w:rPr>
      </w:pPr>
      <w:r w:rsidRPr="0092013E">
        <w:rPr>
          <w:noProof/>
          <w:sz w:val="20"/>
          <w:lang w:val="en-US"/>
        </w:rPr>
        <w:t xml:space="preserve">4    Agalidi, Y.; Kozhukhar, P.; et al. </w:t>
      </w:r>
      <w:r w:rsidRPr="0092013E">
        <w:rPr>
          <w:i/>
          <w:noProof/>
          <w:sz w:val="20"/>
          <w:lang w:val="en-US"/>
        </w:rPr>
        <w:t>Eddy current fields/magnetic recording/magneto-optic imaging NDI method</w:t>
      </w:r>
      <w:r w:rsidRPr="0092013E">
        <w:rPr>
          <w:noProof/>
          <w:sz w:val="20"/>
          <w:lang w:val="en-US"/>
        </w:rPr>
        <w:t xml:space="preserve">. </w:t>
      </w:r>
      <w:r w:rsidRPr="0092013E">
        <w:rPr>
          <w:bCs/>
          <w:noProof/>
          <w:sz w:val="20"/>
          <w:lang w:val="en-US"/>
        </w:rPr>
        <w:t>Taylor &amp; Francis</w:t>
      </w:r>
      <w:r w:rsidR="00FC4C3F">
        <w:rPr>
          <w:noProof/>
          <w:sz w:val="20"/>
          <w:lang w:val="en-US"/>
        </w:rPr>
        <w:t>, v. 27, n. 2, p. 109–119, 2011</w:t>
      </w:r>
      <w:r w:rsidR="00EF1DEC">
        <w:rPr>
          <w:sz w:val="20"/>
          <w:szCs w:val="22"/>
        </w:rPr>
        <w:fldChar w:fldCharType="end"/>
      </w:r>
      <w:r w:rsidR="00FC4C3F" w:rsidRPr="005627F3">
        <w:rPr>
          <w:sz w:val="20"/>
          <w:szCs w:val="22"/>
          <w:lang w:val="en-US"/>
        </w:rPr>
        <w:t>.</w:t>
      </w:r>
    </w:p>
    <w:sectPr w:rsidR="001D2633" w:rsidRPr="005627F3" w:rsidSect="003037F9">
      <w:headerReference w:type="default" r:id="rId12"/>
      <w:footerReference w:type="default" r:id="rId13"/>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853ED" w14:textId="77777777" w:rsidR="004B3443" w:rsidRDefault="004B3443" w:rsidP="003752F7">
      <w:pPr>
        <w:spacing w:line="240" w:lineRule="auto"/>
      </w:pPr>
      <w:r>
        <w:separator/>
      </w:r>
    </w:p>
  </w:endnote>
  <w:endnote w:type="continuationSeparator" w:id="0">
    <w:p w14:paraId="078AF8DF" w14:textId="77777777" w:rsidR="004B3443" w:rsidRDefault="004B3443"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14:paraId="6F8BDA1E" w14:textId="69A43DA1" w:rsidR="00053737" w:rsidRPr="003752F7" w:rsidRDefault="00B72713">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A357B2">
          <w:rPr>
            <w:noProof/>
            <w:sz w:val="20"/>
            <w:szCs w:val="20"/>
          </w:rPr>
          <w:t>1</w:t>
        </w:r>
        <w:r w:rsidRPr="003752F7">
          <w:rPr>
            <w:sz w:val="20"/>
            <w:szCs w:val="20"/>
          </w:rPr>
          <w:fldChar w:fldCharType="end"/>
        </w:r>
      </w:p>
    </w:sdtContent>
  </w:sdt>
  <w:p w14:paraId="633BA27D" w14:textId="77777777"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D0B5C" w14:textId="77777777" w:rsidR="004B3443" w:rsidRDefault="004B3443" w:rsidP="003752F7">
      <w:pPr>
        <w:spacing w:line="240" w:lineRule="auto"/>
      </w:pPr>
      <w:r>
        <w:separator/>
      </w:r>
    </w:p>
  </w:footnote>
  <w:footnote w:type="continuationSeparator" w:id="0">
    <w:p w14:paraId="2C81516E" w14:textId="77777777" w:rsidR="004B3443" w:rsidRDefault="004B3443"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6B5E" w14:textId="77777777"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14:paraId="6AD3DA26" w14:textId="77777777"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14:paraId="5C64DE50" w14:textId="77777777"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14:paraId="24B17C4E" w14:textId="77777777"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07E0C"/>
    <w:rsid w:val="000110B8"/>
    <w:rsid w:val="000141D6"/>
    <w:rsid w:val="00014DC9"/>
    <w:rsid w:val="00017011"/>
    <w:rsid w:val="00026BC8"/>
    <w:rsid w:val="00042E0A"/>
    <w:rsid w:val="00043C0D"/>
    <w:rsid w:val="00051A3B"/>
    <w:rsid w:val="00053737"/>
    <w:rsid w:val="00053FCD"/>
    <w:rsid w:val="00080175"/>
    <w:rsid w:val="00090BA6"/>
    <w:rsid w:val="000B38F5"/>
    <w:rsid w:val="000C67DF"/>
    <w:rsid w:val="000C6C07"/>
    <w:rsid w:val="000D64F7"/>
    <w:rsid w:val="000E490F"/>
    <w:rsid w:val="000E62DA"/>
    <w:rsid w:val="000F0D8B"/>
    <w:rsid w:val="000F502B"/>
    <w:rsid w:val="000F7E3B"/>
    <w:rsid w:val="001044A5"/>
    <w:rsid w:val="001052AA"/>
    <w:rsid w:val="00111113"/>
    <w:rsid w:val="001152BD"/>
    <w:rsid w:val="00115C7E"/>
    <w:rsid w:val="0012394C"/>
    <w:rsid w:val="00123D94"/>
    <w:rsid w:val="001451DD"/>
    <w:rsid w:val="0015364A"/>
    <w:rsid w:val="001612FB"/>
    <w:rsid w:val="00167EE0"/>
    <w:rsid w:val="001752AA"/>
    <w:rsid w:val="0018033F"/>
    <w:rsid w:val="001847FE"/>
    <w:rsid w:val="00194AEF"/>
    <w:rsid w:val="00196018"/>
    <w:rsid w:val="001978D2"/>
    <w:rsid w:val="001A2428"/>
    <w:rsid w:val="001A35F9"/>
    <w:rsid w:val="001A3F23"/>
    <w:rsid w:val="001A5588"/>
    <w:rsid w:val="001A715A"/>
    <w:rsid w:val="001B3C69"/>
    <w:rsid w:val="001D2633"/>
    <w:rsid w:val="001D7643"/>
    <w:rsid w:val="001E1232"/>
    <w:rsid w:val="001E1DCB"/>
    <w:rsid w:val="001E221F"/>
    <w:rsid w:val="001F5735"/>
    <w:rsid w:val="00211CF2"/>
    <w:rsid w:val="00240283"/>
    <w:rsid w:val="00244839"/>
    <w:rsid w:val="00247455"/>
    <w:rsid w:val="00251C8D"/>
    <w:rsid w:val="0025206E"/>
    <w:rsid w:val="00256A86"/>
    <w:rsid w:val="00262CE0"/>
    <w:rsid w:val="00264074"/>
    <w:rsid w:val="00272C6D"/>
    <w:rsid w:val="00273933"/>
    <w:rsid w:val="00281DFF"/>
    <w:rsid w:val="00291BA0"/>
    <w:rsid w:val="00293268"/>
    <w:rsid w:val="00293989"/>
    <w:rsid w:val="002A1F55"/>
    <w:rsid w:val="002B254E"/>
    <w:rsid w:val="002B618F"/>
    <w:rsid w:val="002C1772"/>
    <w:rsid w:val="002C1DE6"/>
    <w:rsid w:val="002F7B50"/>
    <w:rsid w:val="003037F9"/>
    <w:rsid w:val="003212D0"/>
    <w:rsid w:val="0032165A"/>
    <w:rsid w:val="00333198"/>
    <w:rsid w:val="00334F29"/>
    <w:rsid w:val="0034706C"/>
    <w:rsid w:val="00353468"/>
    <w:rsid w:val="00357D88"/>
    <w:rsid w:val="00372A5D"/>
    <w:rsid w:val="003752F7"/>
    <w:rsid w:val="00375F0B"/>
    <w:rsid w:val="0037720B"/>
    <w:rsid w:val="00382120"/>
    <w:rsid w:val="003928AB"/>
    <w:rsid w:val="00397B4E"/>
    <w:rsid w:val="003B1432"/>
    <w:rsid w:val="003D455E"/>
    <w:rsid w:val="003D5AFB"/>
    <w:rsid w:val="003E0662"/>
    <w:rsid w:val="003E761E"/>
    <w:rsid w:val="003F0931"/>
    <w:rsid w:val="003F6A7C"/>
    <w:rsid w:val="00415EA7"/>
    <w:rsid w:val="00423161"/>
    <w:rsid w:val="00425FB9"/>
    <w:rsid w:val="004264DD"/>
    <w:rsid w:val="00442AB9"/>
    <w:rsid w:val="00460049"/>
    <w:rsid w:val="004600AE"/>
    <w:rsid w:val="00460CF2"/>
    <w:rsid w:val="00473BD3"/>
    <w:rsid w:val="00474F95"/>
    <w:rsid w:val="00486A9E"/>
    <w:rsid w:val="00491EA9"/>
    <w:rsid w:val="004A1F23"/>
    <w:rsid w:val="004B1A67"/>
    <w:rsid w:val="004B3443"/>
    <w:rsid w:val="004B3C0E"/>
    <w:rsid w:val="004D63F0"/>
    <w:rsid w:val="004D677A"/>
    <w:rsid w:val="004D6CE8"/>
    <w:rsid w:val="004D7262"/>
    <w:rsid w:val="004E1122"/>
    <w:rsid w:val="004F21E1"/>
    <w:rsid w:val="0051281F"/>
    <w:rsid w:val="00514489"/>
    <w:rsid w:val="00516CB0"/>
    <w:rsid w:val="00520D31"/>
    <w:rsid w:val="005342A4"/>
    <w:rsid w:val="00535C25"/>
    <w:rsid w:val="00540916"/>
    <w:rsid w:val="00541B84"/>
    <w:rsid w:val="00541C6C"/>
    <w:rsid w:val="00543A8C"/>
    <w:rsid w:val="00543FAC"/>
    <w:rsid w:val="00547E49"/>
    <w:rsid w:val="0055601A"/>
    <w:rsid w:val="0056168D"/>
    <w:rsid w:val="005627F3"/>
    <w:rsid w:val="00567BA9"/>
    <w:rsid w:val="00571EAF"/>
    <w:rsid w:val="0057510C"/>
    <w:rsid w:val="00583AC2"/>
    <w:rsid w:val="0059109E"/>
    <w:rsid w:val="00595933"/>
    <w:rsid w:val="00596AD6"/>
    <w:rsid w:val="005A0CBC"/>
    <w:rsid w:val="005A5F31"/>
    <w:rsid w:val="005A6BD6"/>
    <w:rsid w:val="005A71F4"/>
    <w:rsid w:val="005B3ACF"/>
    <w:rsid w:val="005B6216"/>
    <w:rsid w:val="005D0FBA"/>
    <w:rsid w:val="005D3B1F"/>
    <w:rsid w:val="005E0339"/>
    <w:rsid w:val="005E245A"/>
    <w:rsid w:val="005E75EF"/>
    <w:rsid w:val="00600908"/>
    <w:rsid w:val="006028E9"/>
    <w:rsid w:val="006044B2"/>
    <w:rsid w:val="00605E5D"/>
    <w:rsid w:val="00606784"/>
    <w:rsid w:val="00614E2E"/>
    <w:rsid w:val="006151E0"/>
    <w:rsid w:val="00620C7F"/>
    <w:rsid w:val="0063270A"/>
    <w:rsid w:val="006347BF"/>
    <w:rsid w:val="006378FF"/>
    <w:rsid w:val="00647C59"/>
    <w:rsid w:val="0065142A"/>
    <w:rsid w:val="00672251"/>
    <w:rsid w:val="006762AA"/>
    <w:rsid w:val="00677924"/>
    <w:rsid w:val="00677E21"/>
    <w:rsid w:val="00690E86"/>
    <w:rsid w:val="006947F5"/>
    <w:rsid w:val="00696F59"/>
    <w:rsid w:val="006A774A"/>
    <w:rsid w:val="006B0091"/>
    <w:rsid w:val="006B00A7"/>
    <w:rsid w:val="006B0CC4"/>
    <w:rsid w:val="006B17A2"/>
    <w:rsid w:val="006C74E3"/>
    <w:rsid w:val="006D18B3"/>
    <w:rsid w:val="006D26FC"/>
    <w:rsid w:val="006D4BC8"/>
    <w:rsid w:val="006D63F8"/>
    <w:rsid w:val="006E3323"/>
    <w:rsid w:val="006E33F4"/>
    <w:rsid w:val="006E3BF1"/>
    <w:rsid w:val="006E4FEA"/>
    <w:rsid w:val="006F43BE"/>
    <w:rsid w:val="006F50DC"/>
    <w:rsid w:val="00704CD3"/>
    <w:rsid w:val="007148BD"/>
    <w:rsid w:val="007155DF"/>
    <w:rsid w:val="00733C52"/>
    <w:rsid w:val="00734E3C"/>
    <w:rsid w:val="00746985"/>
    <w:rsid w:val="00755A52"/>
    <w:rsid w:val="0078302E"/>
    <w:rsid w:val="00784AD1"/>
    <w:rsid w:val="00786711"/>
    <w:rsid w:val="0079553E"/>
    <w:rsid w:val="0079623C"/>
    <w:rsid w:val="007A109C"/>
    <w:rsid w:val="007B7E3B"/>
    <w:rsid w:val="007C522E"/>
    <w:rsid w:val="007D0DBB"/>
    <w:rsid w:val="007E2E1A"/>
    <w:rsid w:val="0080108D"/>
    <w:rsid w:val="008039FA"/>
    <w:rsid w:val="00804B34"/>
    <w:rsid w:val="00805172"/>
    <w:rsid w:val="00811620"/>
    <w:rsid w:val="00813786"/>
    <w:rsid w:val="00813F18"/>
    <w:rsid w:val="00817160"/>
    <w:rsid w:val="00821CAD"/>
    <w:rsid w:val="00823F4F"/>
    <w:rsid w:val="00824730"/>
    <w:rsid w:val="008319F0"/>
    <w:rsid w:val="00832F16"/>
    <w:rsid w:val="008572CF"/>
    <w:rsid w:val="00857629"/>
    <w:rsid w:val="00857E91"/>
    <w:rsid w:val="00860EDC"/>
    <w:rsid w:val="008949B2"/>
    <w:rsid w:val="008A56C3"/>
    <w:rsid w:val="008B259B"/>
    <w:rsid w:val="008B5B05"/>
    <w:rsid w:val="008D7AB4"/>
    <w:rsid w:val="008E2991"/>
    <w:rsid w:val="00910D22"/>
    <w:rsid w:val="0092013E"/>
    <w:rsid w:val="009217B6"/>
    <w:rsid w:val="00926D11"/>
    <w:rsid w:val="00941837"/>
    <w:rsid w:val="00950EFD"/>
    <w:rsid w:val="00953263"/>
    <w:rsid w:val="00957321"/>
    <w:rsid w:val="00961C66"/>
    <w:rsid w:val="0097088A"/>
    <w:rsid w:val="00973188"/>
    <w:rsid w:val="00987E5E"/>
    <w:rsid w:val="009A202B"/>
    <w:rsid w:val="009A5F55"/>
    <w:rsid w:val="009A7BDC"/>
    <w:rsid w:val="009C3761"/>
    <w:rsid w:val="009C4AC1"/>
    <w:rsid w:val="009E0435"/>
    <w:rsid w:val="009E4343"/>
    <w:rsid w:val="009E4AE7"/>
    <w:rsid w:val="009E5E88"/>
    <w:rsid w:val="009F0D82"/>
    <w:rsid w:val="009F3B49"/>
    <w:rsid w:val="009F4702"/>
    <w:rsid w:val="009F60BF"/>
    <w:rsid w:val="00A049AE"/>
    <w:rsid w:val="00A204C6"/>
    <w:rsid w:val="00A2266E"/>
    <w:rsid w:val="00A26270"/>
    <w:rsid w:val="00A30721"/>
    <w:rsid w:val="00A357B2"/>
    <w:rsid w:val="00A37102"/>
    <w:rsid w:val="00A51761"/>
    <w:rsid w:val="00A5398B"/>
    <w:rsid w:val="00A6422F"/>
    <w:rsid w:val="00A6702D"/>
    <w:rsid w:val="00A735BA"/>
    <w:rsid w:val="00A762D9"/>
    <w:rsid w:val="00A81023"/>
    <w:rsid w:val="00A9079D"/>
    <w:rsid w:val="00A9585D"/>
    <w:rsid w:val="00A95E41"/>
    <w:rsid w:val="00AA51FE"/>
    <w:rsid w:val="00AD11B2"/>
    <w:rsid w:val="00AE4966"/>
    <w:rsid w:val="00AE583C"/>
    <w:rsid w:val="00AF0BDD"/>
    <w:rsid w:val="00B00282"/>
    <w:rsid w:val="00B008DD"/>
    <w:rsid w:val="00B160D8"/>
    <w:rsid w:val="00B16262"/>
    <w:rsid w:val="00B16CBE"/>
    <w:rsid w:val="00B21E36"/>
    <w:rsid w:val="00B2671D"/>
    <w:rsid w:val="00B30B26"/>
    <w:rsid w:val="00B32F1D"/>
    <w:rsid w:val="00B33D8A"/>
    <w:rsid w:val="00B46069"/>
    <w:rsid w:val="00B462A0"/>
    <w:rsid w:val="00B50074"/>
    <w:rsid w:val="00B51968"/>
    <w:rsid w:val="00B56A39"/>
    <w:rsid w:val="00B702A7"/>
    <w:rsid w:val="00B72713"/>
    <w:rsid w:val="00B757CC"/>
    <w:rsid w:val="00B758D3"/>
    <w:rsid w:val="00B81B4D"/>
    <w:rsid w:val="00BA23C0"/>
    <w:rsid w:val="00BA44CE"/>
    <w:rsid w:val="00BC1E46"/>
    <w:rsid w:val="00BD2918"/>
    <w:rsid w:val="00BE1D5B"/>
    <w:rsid w:val="00BF4C82"/>
    <w:rsid w:val="00BF6353"/>
    <w:rsid w:val="00C11825"/>
    <w:rsid w:val="00C12BC8"/>
    <w:rsid w:val="00C1748C"/>
    <w:rsid w:val="00C24A11"/>
    <w:rsid w:val="00C26C44"/>
    <w:rsid w:val="00C62C9A"/>
    <w:rsid w:val="00C630D3"/>
    <w:rsid w:val="00C86D3A"/>
    <w:rsid w:val="00C92FC6"/>
    <w:rsid w:val="00C92FFA"/>
    <w:rsid w:val="00CA7450"/>
    <w:rsid w:val="00CC0AEB"/>
    <w:rsid w:val="00CC6B7D"/>
    <w:rsid w:val="00CC7593"/>
    <w:rsid w:val="00CE4C43"/>
    <w:rsid w:val="00CE6D58"/>
    <w:rsid w:val="00CF0B20"/>
    <w:rsid w:val="00CF1DBC"/>
    <w:rsid w:val="00CF3290"/>
    <w:rsid w:val="00CF5D2A"/>
    <w:rsid w:val="00D026FA"/>
    <w:rsid w:val="00D03AB2"/>
    <w:rsid w:val="00D0592C"/>
    <w:rsid w:val="00D07C04"/>
    <w:rsid w:val="00D31E9E"/>
    <w:rsid w:val="00D348C0"/>
    <w:rsid w:val="00D37D78"/>
    <w:rsid w:val="00D4599A"/>
    <w:rsid w:val="00D46CE0"/>
    <w:rsid w:val="00D55EBC"/>
    <w:rsid w:val="00D6094C"/>
    <w:rsid w:val="00D66DB9"/>
    <w:rsid w:val="00D7559F"/>
    <w:rsid w:val="00D83186"/>
    <w:rsid w:val="00D85888"/>
    <w:rsid w:val="00DB64DF"/>
    <w:rsid w:val="00DB65CE"/>
    <w:rsid w:val="00DC0E24"/>
    <w:rsid w:val="00DD690F"/>
    <w:rsid w:val="00DE2ADD"/>
    <w:rsid w:val="00DE5277"/>
    <w:rsid w:val="00DF7C5F"/>
    <w:rsid w:val="00E116AF"/>
    <w:rsid w:val="00E17845"/>
    <w:rsid w:val="00E30AA9"/>
    <w:rsid w:val="00E34403"/>
    <w:rsid w:val="00E467F5"/>
    <w:rsid w:val="00E573A1"/>
    <w:rsid w:val="00E65FFC"/>
    <w:rsid w:val="00E71AF5"/>
    <w:rsid w:val="00E7736B"/>
    <w:rsid w:val="00E97780"/>
    <w:rsid w:val="00E97951"/>
    <w:rsid w:val="00E979DF"/>
    <w:rsid w:val="00EA3AA3"/>
    <w:rsid w:val="00EA47BE"/>
    <w:rsid w:val="00EA4AD4"/>
    <w:rsid w:val="00EB49C8"/>
    <w:rsid w:val="00EB652D"/>
    <w:rsid w:val="00EC6C1D"/>
    <w:rsid w:val="00EE266E"/>
    <w:rsid w:val="00EE70EE"/>
    <w:rsid w:val="00EF1DEC"/>
    <w:rsid w:val="00EF6EDE"/>
    <w:rsid w:val="00EF7F30"/>
    <w:rsid w:val="00F04A8A"/>
    <w:rsid w:val="00F0642C"/>
    <w:rsid w:val="00F10ED3"/>
    <w:rsid w:val="00F11B6C"/>
    <w:rsid w:val="00F15E18"/>
    <w:rsid w:val="00F17444"/>
    <w:rsid w:val="00F22F39"/>
    <w:rsid w:val="00F363E3"/>
    <w:rsid w:val="00F42EBD"/>
    <w:rsid w:val="00F50A50"/>
    <w:rsid w:val="00F525A4"/>
    <w:rsid w:val="00F6162F"/>
    <w:rsid w:val="00F61A67"/>
    <w:rsid w:val="00F6309E"/>
    <w:rsid w:val="00F80A2A"/>
    <w:rsid w:val="00F83BB0"/>
    <w:rsid w:val="00F90DCE"/>
    <w:rsid w:val="00FA44FF"/>
    <w:rsid w:val="00FB34C0"/>
    <w:rsid w:val="00FB6D6C"/>
    <w:rsid w:val="00FC2A21"/>
    <w:rsid w:val="00FC2E7B"/>
    <w:rsid w:val="00FC3308"/>
    <w:rsid w:val="00FC4C3F"/>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D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customStyle="1" w:styleId="NoindentNormal">
    <w:name w:val="NoindentNormal"/>
    <w:basedOn w:val="Normal"/>
    <w:next w:val="Normal"/>
    <w:rsid w:val="003B1432"/>
    <w:pPr>
      <w:spacing w:line="240" w:lineRule="auto"/>
    </w:pPr>
    <w:rPr>
      <w:rFonts w:eastAsia="MS Mincho"/>
      <w:sz w:val="20"/>
      <w:lang w:val="en-US" w:eastAsia="ja-JP"/>
    </w:rPr>
  </w:style>
  <w:style w:type="character" w:styleId="TextodoEspaoReservado">
    <w:name w:val="Placeholder Text"/>
    <w:basedOn w:val="Fontepargpadro"/>
    <w:uiPriority w:val="99"/>
    <w:semiHidden/>
    <w:rsid w:val="00FC2A21"/>
    <w:rPr>
      <w:color w:val="808080"/>
    </w:rPr>
  </w:style>
  <w:style w:type="paragraph" w:styleId="Legenda">
    <w:name w:val="caption"/>
    <w:basedOn w:val="Normal"/>
    <w:next w:val="Normal"/>
    <w:uiPriority w:val="35"/>
    <w:unhideWhenUsed/>
    <w:qFormat/>
    <w:rsid w:val="00111113"/>
    <w:pPr>
      <w:spacing w:after="200" w:line="240" w:lineRule="auto"/>
    </w:pPr>
    <w:rPr>
      <w:i/>
      <w:iCs/>
      <w:color w:val="1F497D" w:themeColor="text2"/>
      <w:sz w:val="18"/>
      <w:szCs w:val="18"/>
    </w:rPr>
  </w:style>
  <w:style w:type="paragraph" w:styleId="Corpodetexto">
    <w:name w:val="Body Text"/>
    <w:basedOn w:val="Normal"/>
    <w:link w:val="CorpodetextoChar"/>
    <w:rsid w:val="006D63F8"/>
    <w:pPr>
      <w:spacing w:line="240" w:lineRule="auto"/>
    </w:pPr>
    <w:rPr>
      <w:rFonts w:ascii="Arial" w:hAnsi="Arial" w:cs="Arial"/>
      <w:b/>
      <w:bCs/>
      <w:sz w:val="22"/>
    </w:rPr>
  </w:style>
  <w:style w:type="character" w:customStyle="1" w:styleId="CorpodetextoChar">
    <w:name w:val="Corpo de texto Char"/>
    <w:basedOn w:val="Fontepargpadro"/>
    <w:link w:val="Corpodetexto"/>
    <w:rsid w:val="006D63F8"/>
    <w:rPr>
      <w:rFonts w:ascii="Arial" w:eastAsia="Times New Roman" w:hAnsi="Arial" w:cs="Arial"/>
      <w:b/>
      <w:bCs/>
      <w:szCs w:val="24"/>
      <w:lang w:eastAsia="pt-BR"/>
    </w:rPr>
  </w:style>
  <w:style w:type="paragraph" w:styleId="Textodenotaderodap">
    <w:name w:val="footnote text"/>
    <w:basedOn w:val="Normal"/>
    <w:link w:val="TextodenotaderodapChar"/>
    <w:uiPriority w:val="99"/>
    <w:unhideWhenUsed/>
    <w:rsid w:val="00805172"/>
    <w:pPr>
      <w:spacing w:line="240" w:lineRule="auto"/>
    </w:pPr>
  </w:style>
  <w:style w:type="character" w:customStyle="1" w:styleId="TextodenotaderodapChar">
    <w:name w:val="Texto de nota de rodapé Char"/>
    <w:basedOn w:val="Fontepargpadro"/>
    <w:link w:val="Textodenotaderodap"/>
    <w:uiPriority w:val="99"/>
    <w:rsid w:val="00805172"/>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unhideWhenUsed/>
    <w:rsid w:val="00805172"/>
    <w:rPr>
      <w:vertAlign w:val="superscript"/>
    </w:rPr>
  </w:style>
  <w:style w:type="table" w:customStyle="1" w:styleId="GridTable1LightAccent3">
    <w:name w:val="Grid Table 1 Light Accent 3"/>
    <w:basedOn w:val="Tabelanormal"/>
    <w:uiPriority w:val="46"/>
    <w:rsid w:val="00BE1D5B"/>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
    <w:name w:val="Grid Table 4 Accent 3"/>
    <w:basedOn w:val="Tabelanormal"/>
    <w:uiPriority w:val="49"/>
    <w:rsid w:val="00BE1D5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customStyle="1" w:styleId="NoindentNormal">
    <w:name w:val="NoindentNormal"/>
    <w:basedOn w:val="Normal"/>
    <w:next w:val="Normal"/>
    <w:rsid w:val="003B1432"/>
    <w:pPr>
      <w:spacing w:line="240" w:lineRule="auto"/>
    </w:pPr>
    <w:rPr>
      <w:rFonts w:eastAsia="MS Mincho"/>
      <w:sz w:val="20"/>
      <w:lang w:val="en-US" w:eastAsia="ja-JP"/>
    </w:rPr>
  </w:style>
  <w:style w:type="character" w:styleId="TextodoEspaoReservado">
    <w:name w:val="Placeholder Text"/>
    <w:basedOn w:val="Fontepargpadro"/>
    <w:uiPriority w:val="99"/>
    <w:semiHidden/>
    <w:rsid w:val="00FC2A21"/>
    <w:rPr>
      <w:color w:val="808080"/>
    </w:rPr>
  </w:style>
  <w:style w:type="paragraph" w:styleId="Legenda">
    <w:name w:val="caption"/>
    <w:basedOn w:val="Normal"/>
    <w:next w:val="Normal"/>
    <w:uiPriority w:val="35"/>
    <w:unhideWhenUsed/>
    <w:qFormat/>
    <w:rsid w:val="00111113"/>
    <w:pPr>
      <w:spacing w:after="200" w:line="240" w:lineRule="auto"/>
    </w:pPr>
    <w:rPr>
      <w:i/>
      <w:iCs/>
      <w:color w:val="1F497D" w:themeColor="text2"/>
      <w:sz w:val="18"/>
      <w:szCs w:val="18"/>
    </w:rPr>
  </w:style>
  <w:style w:type="paragraph" w:styleId="Corpodetexto">
    <w:name w:val="Body Text"/>
    <w:basedOn w:val="Normal"/>
    <w:link w:val="CorpodetextoChar"/>
    <w:rsid w:val="006D63F8"/>
    <w:pPr>
      <w:spacing w:line="240" w:lineRule="auto"/>
    </w:pPr>
    <w:rPr>
      <w:rFonts w:ascii="Arial" w:hAnsi="Arial" w:cs="Arial"/>
      <w:b/>
      <w:bCs/>
      <w:sz w:val="22"/>
    </w:rPr>
  </w:style>
  <w:style w:type="character" w:customStyle="1" w:styleId="CorpodetextoChar">
    <w:name w:val="Corpo de texto Char"/>
    <w:basedOn w:val="Fontepargpadro"/>
    <w:link w:val="Corpodetexto"/>
    <w:rsid w:val="006D63F8"/>
    <w:rPr>
      <w:rFonts w:ascii="Arial" w:eastAsia="Times New Roman" w:hAnsi="Arial" w:cs="Arial"/>
      <w:b/>
      <w:bCs/>
      <w:szCs w:val="24"/>
      <w:lang w:eastAsia="pt-BR"/>
    </w:rPr>
  </w:style>
  <w:style w:type="paragraph" w:styleId="Textodenotaderodap">
    <w:name w:val="footnote text"/>
    <w:basedOn w:val="Normal"/>
    <w:link w:val="TextodenotaderodapChar"/>
    <w:uiPriority w:val="99"/>
    <w:unhideWhenUsed/>
    <w:rsid w:val="00805172"/>
    <w:pPr>
      <w:spacing w:line="240" w:lineRule="auto"/>
    </w:pPr>
  </w:style>
  <w:style w:type="character" w:customStyle="1" w:styleId="TextodenotaderodapChar">
    <w:name w:val="Texto de nota de rodapé Char"/>
    <w:basedOn w:val="Fontepargpadro"/>
    <w:link w:val="Textodenotaderodap"/>
    <w:uiPriority w:val="99"/>
    <w:rsid w:val="00805172"/>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unhideWhenUsed/>
    <w:rsid w:val="00805172"/>
    <w:rPr>
      <w:vertAlign w:val="superscript"/>
    </w:rPr>
  </w:style>
  <w:style w:type="table" w:customStyle="1" w:styleId="GridTable1LightAccent3">
    <w:name w:val="Grid Table 1 Light Accent 3"/>
    <w:basedOn w:val="Tabelanormal"/>
    <w:uiPriority w:val="46"/>
    <w:rsid w:val="00BE1D5B"/>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
    <w:name w:val="Grid Table 4 Accent 3"/>
    <w:basedOn w:val="Tabelanormal"/>
    <w:uiPriority w:val="49"/>
    <w:rsid w:val="00BE1D5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36A13-3A0E-4A99-86BD-ABCE3EE7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2090</Words>
  <Characters>11288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2017-07-19T21:06:00Z</dcterms:created>
  <dcterms:modified xsi:type="dcterms:W3CDTF">2017-07-19T21:06:00Z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6bdcf6e4-7b8c-3368-872d-c232bd29032a</vt:lpwstr>
  </property>
  <property fmtid="{D5CDD505-2E9C-101B-9397-08002B2CF9AE}" pid="4" name="Mendeley Citation Style_1">
    <vt:lpwstr>http://abnt_numerico</vt:lpwstr>
  </property>
  <property fmtid="{D5CDD505-2E9C-101B-9397-08002B2CF9AE}" pid="5" name="Mendeley Recent Style Id 0_1">
    <vt:lpwstr>http://www.zotero.org/styles/ABNT</vt:lpwstr>
  </property>
  <property fmtid="{D5CDD505-2E9C-101B-9397-08002B2CF9AE}" pid="6" name="Mendeley Recent Style Name 0_1">
    <vt:lpwstr>ABNT (UFPR)</vt:lpwstr>
  </property>
  <property fmtid="{D5CDD505-2E9C-101B-9397-08002B2CF9AE}" pid="7" name="Mendeley Recent Style Id 1_1">
    <vt:lpwstr>http://abnt_numerico</vt:lpwstr>
  </property>
  <property fmtid="{D5CDD505-2E9C-101B-9397-08002B2CF9AE}" pid="8" name="Mendeley Recent Style Name 1_1">
    <vt:lpwstr>ABNT_Numerico</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