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AD9" w:rsidRDefault="00956AB7">
      <w:pPr>
        <w:spacing w:line="240" w:lineRule="auto"/>
        <w:jc w:val="center"/>
        <w:rPr>
          <w:b/>
          <w:i/>
        </w:rPr>
      </w:pPr>
      <w:r>
        <w:rPr>
          <w:b/>
          <w:i/>
        </w:rPr>
        <w:t xml:space="preserve">Perícia Oficial e Identificação Técnica de Mato Grosso - POLITEC: Aplicação e Impacto do instrumento de autoavaliação de 250 pontos do Programa </w:t>
      </w:r>
      <w:proofErr w:type="spellStart"/>
      <w:r>
        <w:rPr>
          <w:b/>
          <w:i/>
        </w:rPr>
        <w:t>Gespública</w:t>
      </w:r>
      <w:proofErr w:type="spellEnd"/>
      <w:r>
        <w:rPr>
          <w:b/>
          <w:i/>
        </w:rPr>
        <w:t xml:space="preserve"> (IAPG 250).</w:t>
      </w:r>
    </w:p>
    <w:p w:rsidR="004E5AD9" w:rsidRDefault="004E5AD9">
      <w:pPr>
        <w:spacing w:line="240" w:lineRule="auto"/>
        <w:jc w:val="center"/>
        <w:rPr>
          <w:i/>
          <w:sz w:val="20"/>
          <w:szCs w:val="20"/>
        </w:rPr>
      </w:pPr>
      <w:bookmarkStart w:id="0" w:name="_GoBack"/>
      <w:bookmarkEnd w:id="0"/>
    </w:p>
    <w:p w:rsidR="004E5AD9" w:rsidRDefault="00956AB7">
      <w:pPr>
        <w:spacing w:line="240" w:lineRule="auto"/>
        <w:rPr>
          <w:b/>
          <w:sz w:val="22"/>
          <w:szCs w:val="22"/>
        </w:rPr>
      </w:pPr>
      <w:r>
        <w:rPr>
          <w:b/>
          <w:sz w:val="22"/>
          <w:szCs w:val="22"/>
        </w:rPr>
        <w:t>INTRODUÇÃO.</w:t>
      </w:r>
    </w:p>
    <w:p w:rsidR="004E5AD9" w:rsidRDefault="00956AB7">
      <w:pPr>
        <w:spacing w:line="240" w:lineRule="auto"/>
        <w:rPr>
          <w:sz w:val="22"/>
          <w:szCs w:val="22"/>
        </w:rPr>
      </w:pPr>
      <w:r>
        <w:rPr>
          <w:sz w:val="22"/>
          <w:szCs w:val="22"/>
        </w:rPr>
        <w:t>A Gestão Pública é dogmatizada pela falta de eficiência na prestação dos serviços, pelo excesso de burocracia, má aplicação dos recursos e má qualidade do atendimento. Modelos de melhoria da qualidade foram propostas para o setor público ao longo dos anos, principalmente na década de 90, quando se buscava compatibilizar a necessidade de atendimento a um alto volume de serviços oriundos dos clientes, frente à flagrante insuficiência orçamentária e financeira</w:t>
      </w:r>
      <w:r w:rsidR="00733EA7">
        <w:rPr>
          <w:sz w:val="22"/>
          <w:szCs w:val="22"/>
        </w:rPr>
        <w:t>[1]</w:t>
      </w:r>
      <w:r>
        <w:rPr>
          <w:sz w:val="22"/>
          <w:szCs w:val="22"/>
        </w:rPr>
        <w:t>.</w:t>
      </w:r>
    </w:p>
    <w:p w:rsidR="004E5AD9" w:rsidRDefault="00956AB7">
      <w:pPr>
        <w:spacing w:line="240" w:lineRule="auto"/>
        <w:rPr>
          <w:sz w:val="22"/>
          <w:szCs w:val="22"/>
        </w:rPr>
      </w:pPr>
      <w:r>
        <w:rPr>
          <w:sz w:val="22"/>
          <w:szCs w:val="22"/>
        </w:rPr>
        <w:t>Um dos primeiros programas criados na busca da excelência no serviço público foi o Programa Brasileiro da Qualidade e Produtividade - PBQP.  Considerado o marco inicial dos programas de qualidade no serviço público, foi modelado pelo governo federal em 1990, e objetivava implementar novas técnicas de produção, gestão e mudanças organizacionais. O PBQP é ainda adotado em alguns setores do serviço público, por exemplo, o Ministério das Cidades tem implementado o PBQP do Habitat, para organizar o setor da construção civil na melhoria da qualidade do habitat e na modernização produtiva</w:t>
      </w:r>
      <w:r w:rsidR="00733EA7">
        <w:rPr>
          <w:sz w:val="22"/>
          <w:szCs w:val="22"/>
        </w:rPr>
        <w:t>[2]</w:t>
      </w:r>
      <w:r>
        <w:rPr>
          <w:sz w:val="22"/>
          <w:szCs w:val="22"/>
        </w:rPr>
        <w:t>.</w:t>
      </w:r>
    </w:p>
    <w:p w:rsidR="004E5AD9" w:rsidRDefault="00956AB7">
      <w:pPr>
        <w:spacing w:line="240" w:lineRule="auto"/>
        <w:rPr>
          <w:sz w:val="22"/>
          <w:szCs w:val="22"/>
        </w:rPr>
      </w:pPr>
      <w:r>
        <w:rPr>
          <w:sz w:val="22"/>
          <w:szCs w:val="22"/>
        </w:rPr>
        <w:t>Em 1995, com a necessidade de ajuste econômico patrocinado pelo governo federal,</w:t>
      </w:r>
      <w:r w:rsidR="00BF2FB2">
        <w:rPr>
          <w:sz w:val="22"/>
          <w:szCs w:val="22"/>
        </w:rPr>
        <w:t xml:space="preserve"> </w:t>
      </w:r>
      <w:r>
        <w:rPr>
          <w:sz w:val="22"/>
          <w:szCs w:val="22"/>
        </w:rPr>
        <w:t>surge o Programa Qualidade e Participação na Administração Pública - QPAP- como importante instrumento de avaliação da modernização do aparelho de Estado [3]. O QPAP se objetivava em: a) aumentar a governança do Estado; (b) restringir sua atuação; c) transferir ações de caráter local da União para os estados e municípios; (d) transferir parcialmente as ações de caráter regional da União para os estados.</w:t>
      </w:r>
    </w:p>
    <w:p w:rsidR="004E5AD9" w:rsidRDefault="00956AB7">
      <w:pPr>
        <w:spacing w:line="240" w:lineRule="auto"/>
        <w:rPr>
          <w:sz w:val="22"/>
          <w:szCs w:val="22"/>
        </w:rPr>
      </w:pPr>
      <w:r>
        <w:rPr>
          <w:sz w:val="22"/>
          <w:szCs w:val="22"/>
        </w:rPr>
        <w:t>Com foco na excelência pública[4], um novo modelo de ges</w:t>
      </w:r>
      <w:r w:rsidR="003F028D">
        <w:rPr>
          <w:sz w:val="22"/>
          <w:szCs w:val="22"/>
        </w:rPr>
        <w:t>tão foi concebido, incorporando</w:t>
      </w:r>
      <w:r>
        <w:rPr>
          <w:sz w:val="22"/>
          <w:szCs w:val="22"/>
        </w:rPr>
        <w:t xml:space="preserve"> às experiências alcançadas o foco no atendimento ao cidadão com pesquisa de satisfação dos usuários, implementação dos padrões de atendimento integrado e os </w:t>
      </w:r>
      <w:proofErr w:type="spellStart"/>
      <w:r>
        <w:rPr>
          <w:sz w:val="22"/>
          <w:szCs w:val="22"/>
        </w:rPr>
        <w:t>SACs</w:t>
      </w:r>
      <w:proofErr w:type="spellEnd"/>
      <w:r>
        <w:rPr>
          <w:sz w:val="22"/>
          <w:szCs w:val="22"/>
        </w:rPr>
        <w:t xml:space="preserve"> - Serviço de atendimento ao cidadão. Surge em 1999, PQSP - Programa de Qualidade no Serviço Público por meio do Ministério do Planejamento.</w:t>
      </w:r>
    </w:p>
    <w:p w:rsidR="004E5AD9" w:rsidRDefault="00956AB7">
      <w:pPr>
        <w:spacing w:line="240" w:lineRule="auto"/>
        <w:rPr>
          <w:sz w:val="22"/>
          <w:szCs w:val="22"/>
        </w:rPr>
      </w:pPr>
      <w:r>
        <w:rPr>
          <w:sz w:val="22"/>
          <w:szCs w:val="22"/>
        </w:rPr>
        <w:t>Em 23 de fevereiro de 2005, surge por meio do Decreto n° 5.378, o Programa de Gestão do Serviço Público com a missão de mudança do paradigma da administração burocrática para a administração gerencial. Resultou da fusão do Programa da Qualidade no Serviço Público e do Programa Nacional de Desburocratização do Ministério do Planejamento, Orçamento e Gestão, e tem a finalidade de contribuir na melhoria da qualidade dos serviços públicos prestados e, no aumento da competitividade do País, mediante melhoria contínua da gestão rumo à excelência.</w:t>
      </w:r>
    </w:p>
    <w:p w:rsidR="004E5AD9" w:rsidRDefault="004E5AD9">
      <w:pPr>
        <w:spacing w:line="240" w:lineRule="auto"/>
        <w:rPr>
          <w:sz w:val="22"/>
          <w:szCs w:val="22"/>
        </w:rPr>
      </w:pPr>
    </w:p>
    <w:p w:rsidR="004E5AD9" w:rsidRDefault="00956AB7">
      <w:pPr>
        <w:spacing w:line="240" w:lineRule="auto"/>
        <w:rPr>
          <w:b/>
          <w:sz w:val="22"/>
          <w:szCs w:val="22"/>
        </w:rPr>
      </w:pPr>
      <w:r>
        <w:rPr>
          <w:b/>
          <w:sz w:val="22"/>
          <w:szCs w:val="22"/>
        </w:rPr>
        <w:t>GESPÚBLICA - Programa de Qualidade da Gestão Pública</w:t>
      </w:r>
    </w:p>
    <w:p w:rsidR="004E5AD9" w:rsidRDefault="00956AB7">
      <w:pPr>
        <w:spacing w:line="240" w:lineRule="auto"/>
        <w:rPr>
          <w:sz w:val="22"/>
          <w:szCs w:val="22"/>
        </w:rPr>
      </w:pPr>
      <w:r>
        <w:rPr>
          <w:sz w:val="22"/>
          <w:szCs w:val="22"/>
        </w:rPr>
        <w:t>O GESPÚBLICA conduz a adoção de práticas de gestão orientadas para resultados com foco no cidadão. O programa disponibiliza um sistema de avaliação com parâmetros de 250, 500 e 1000 pontos, sendo 250 pontos para instituições iniciantes, e os instrumentos de 500 e 1000 pontos galgados à medida que a organização ganha maturidade institucional e se desenvolve. Uma instituição com pontuação entre 0 e 150 pontos no instrumento de 250 pontos, enquadra-se em um estágio preliminar de desenvolvimento de práticas de gestão. As instituições com pontuação entre 151 e 250 pontos já possuem práticas de gestão em primeiro estágio de desenvolvimento e implementação, com lacunas na aplicação destas, mas com tendências favoráveis dadas algum</w:t>
      </w:r>
      <w:r w:rsidR="00733EA7">
        <w:rPr>
          <w:sz w:val="22"/>
          <w:szCs w:val="22"/>
        </w:rPr>
        <w:t>as práticas já implementadas</w:t>
      </w:r>
      <w:r>
        <w:rPr>
          <w:sz w:val="22"/>
          <w:szCs w:val="22"/>
        </w:rPr>
        <w:t>.</w:t>
      </w:r>
    </w:p>
    <w:p w:rsidR="004E5AD9" w:rsidRDefault="00956AB7">
      <w:pPr>
        <w:spacing w:line="240" w:lineRule="auto"/>
        <w:rPr>
          <w:sz w:val="22"/>
          <w:szCs w:val="22"/>
        </w:rPr>
      </w:pPr>
      <w:r>
        <w:rPr>
          <w:sz w:val="22"/>
          <w:szCs w:val="22"/>
        </w:rPr>
        <w:t>O sistema de avaliação continuada desnuda o mapa situacional da instituição nas 8 (oito) perspectivas que compõem a ma</w:t>
      </w:r>
      <w:r w:rsidR="00471ED3">
        <w:rPr>
          <w:sz w:val="22"/>
          <w:szCs w:val="22"/>
        </w:rPr>
        <w:t xml:space="preserve">triz estratégica da </w:t>
      </w:r>
      <w:proofErr w:type="spellStart"/>
      <w:r w:rsidR="00471ED3">
        <w:rPr>
          <w:sz w:val="22"/>
          <w:szCs w:val="22"/>
        </w:rPr>
        <w:t>Gespública</w:t>
      </w:r>
      <w:proofErr w:type="spellEnd"/>
      <w:r w:rsidR="00471ED3">
        <w:rPr>
          <w:sz w:val="22"/>
          <w:szCs w:val="22"/>
        </w:rPr>
        <w:t>,</w:t>
      </w:r>
      <w:r>
        <w:rPr>
          <w:sz w:val="22"/>
          <w:szCs w:val="22"/>
        </w:rPr>
        <w:t xml:space="preserve"> permitindo a proposição de ações para alavancar o desenvolvimento institucional. O sistema de avaliação da </w:t>
      </w:r>
      <w:proofErr w:type="spellStart"/>
      <w:r>
        <w:rPr>
          <w:sz w:val="22"/>
          <w:szCs w:val="22"/>
        </w:rPr>
        <w:t>Gespública</w:t>
      </w:r>
      <w:proofErr w:type="spellEnd"/>
      <w:r>
        <w:rPr>
          <w:sz w:val="22"/>
          <w:szCs w:val="22"/>
        </w:rPr>
        <w:t xml:space="preserve"> fornece os mecanismos necessários para uma avaliação contínua da instituição, permitindo assim, propositura de ações para melhoria do desempenho institucional.</w:t>
      </w:r>
    </w:p>
    <w:p w:rsidR="004E5AD9" w:rsidRDefault="004E5AD9">
      <w:pPr>
        <w:spacing w:line="240" w:lineRule="auto"/>
        <w:rPr>
          <w:sz w:val="22"/>
          <w:szCs w:val="22"/>
        </w:rPr>
      </w:pPr>
    </w:p>
    <w:p w:rsidR="004E5AD9" w:rsidRDefault="00956AB7">
      <w:pPr>
        <w:spacing w:line="240" w:lineRule="auto"/>
        <w:rPr>
          <w:b/>
          <w:sz w:val="22"/>
          <w:szCs w:val="22"/>
        </w:rPr>
      </w:pPr>
      <w:r>
        <w:rPr>
          <w:b/>
          <w:sz w:val="22"/>
          <w:szCs w:val="22"/>
        </w:rPr>
        <w:t xml:space="preserve">A GESPUBLICA NA POLITEC. </w:t>
      </w:r>
    </w:p>
    <w:p w:rsidR="004E5AD9" w:rsidRDefault="00956AB7">
      <w:pPr>
        <w:spacing w:line="240" w:lineRule="auto"/>
        <w:rPr>
          <w:sz w:val="22"/>
          <w:szCs w:val="22"/>
        </w:rPr>
      </w:pPr>
      <w:r>
        <w:rPr>
          <w:sz w:val="22"/>
          <w:szCs w:val="22"/>
        </w:rPr>
        <w:lastRenderedPageBreak/>
        <w:t xml:space="preserve">A adesão da Perícia Oficial e Identificação Técnica de Mato Grosso - POLITEC ao programa </w:t>
      </w:r>
      <w:proofErr w:type="spellStart"/>
      <w:r>
        <w:rPr>
          <w:sz w:val="22"/>
          <w:szCs w:val="22"/>
        </w:rPr>
        <w:t>Gespública</w:t>
      </w:r>
      <w:proofErr w:type="spellEnd"/>
      <w:r>
        <w:rPr>
          <w:sz w:val="22"/>
          <w:szCs w:val="22"/>
        </w:rPr>
        <w:t xml:space="preserve"> se deu em 2012, com a primeira autoavaliação institucional no instrumento de 250 pontos.  Como metodologia, promoveu-se vários encontros setoriais e um geral, com todos os gestores da POLITEC do estado, com discussão e avaliação da situação da instituição frente ao instrumento de avaliação. Para cada critério avaliado foram, também, propostas oportunidade de melhorias (OM) para as áreas em que necessitava de melhoria da atuação.</w:t>
      </w:r>
    </w:p>
    <w:p w:rsidR="004E5AD9" w:rsidRDefault="00956AB7">
      <w:pPr>
        <w:spacing w:line="240" w:lineRule="auto"/>
        <w:rPr>
          <w:sz w:val="22"/>
          <w:szCs w:val="22"/>
        </w:rPr>
      </w:pPr>
      <w:r>
        <w:rPr>
          <w:sz w:val="22"/>
          <w:szCs w:val="22"/>
        </w:rPr>
        <w:t>Na elaboração do Plano de trabalho anual, as OM resultantes do processo de avaliação são usadas como um dos principais norteadores das ações e de aplicação dos recursos.</w:t>
      </w:r>
    </w:p>
    <w:p w:rsidR="004E5AD9" w:rsidRDefault="00956AB7">
      <w:pPr>
        <w:spacing w:line="240" w:lineRule="auto"/>
        <w:rPr>
          <w:sz w:val="22"/>
          <w:szCs w:val="22"/>
        </w:rPr>
      </w:pPr>
      <w:r>
        <w:rPr>
          <w:sz w:val="22"/>
          <w:szCs w:val="22"/>
        </w:rPr>
        <w:t>Após quatro anos de avaliação no instrumento de 250 pontos, em 2016 foi aplicado o instrumento na régua de 1000 pontos. A Metodologia seguiu o mesmo modelo adotado desde de 2012, com poucos refinamentos na condução, mas permanecendo a essência.</w:t>
      </w:r>
    </w:p>
    <w:p w:rsidR="004E5AD9" w:rsidRDefault="004E5AD9">
      <w:pPr>
        <w:spacing w:line="240" w:lineRule="auto"/>
        <w:rPr>
          <w:sz w:val="22"/>
          <w:szCs w:val="22"/>
        </w:rPr>
      </w:pPr>
    </w:p>
    <w:p w:rsidR="004E5AD9" w:rsidRDefault="00956AB7">
      <w:pPr>
        <w:spacing w:line="240" w:lineRule="auto"/>
        <w:rPr>
          <w:b/>
          <w:sz w:val="22"/>
          <w:szCs w:val="22"/>
        </w:rPr>
      </w:pPr>
      <w:r>
        <w:rPr>
          <w:b/>
          <w:sz w:val="22"/>
          <w:szCs w:val="22"/>
        </w:rPr>
        <w:t>RESULTADO</w:t>
      </w:r>
    </w:p>
    <w:p w:rsidR="004E5AD9" w:rsidRDefault="00956AB7">
      <w:pPr>
        <w:spacing w:line="240" w:lineRule="auto"/>
        <w:rPr>
          <w:sz w:val="22"/>
          <w:szCs w:val="22"/>
        </w:rPr>
      </w:pPr>
      <w:r>
        <w:rPr>
          <w:sz w:val="22"/>
          <w:szCs w:val="22"/>
        </w:rPr>
        <w:t xml:space="preserve">O principal resultado foi o conhecimento das nossas fragilidades e a elaboração de um Plano de trabalho baseado nas </w:t>
      </w:r>
      <w:proofErr w:type="spellStart"/>
      <w:r>
        <w:rPr>
          <w:sz w:val="22"/>
          <w:szCs w:val="22"/>
        </w:rPr>
        <w:t>OMs</w:t>
      </w:r>
      <w:proofErr w:type="spellEnd"/>
      <w:r>
        <w:rPr>
          <w:sz w:val="22"/>
          <w:szCs w:val="22"/>
        </w:rPr>
        <w:t>, possibilitando a adoção de ações de correções para superar nossas principais deficiências, como exemplificado na Tabela I:</w:t>
      </w:r>
    </w:p>
    <w:p w:rsidR="004E5AD9" w:rsidRDefault="004E5AD9">
      <w:pPr>
        <w:spacing w:line="240" w:lineRule="auto"/>
        <w:rPr>
          <w:sz w:val="22"/>
          <w:szCs w:val="22"/>
        </w:rPr>
      </w:pPr>
    </w:p>
    <w:p w:rsidR="004E5AD9" w:rsidRDefault="00956AB7">
      <w:pPr>
        <w:spacing w:line="240" w:lineRule="auto"/>
        <w:rPr>
          <w:rFonts w:ascii="Arial" w:eastAsia="Arial" w:hAnsi="Arial" w:cs="Arial"/>
          <w:sz w:val="22"/>
          <w:szCs w:val="22"/>
        </w:rPr>
      </w:pPr>
      <w:r>
        <w:rPr>
          <w:b/>
          <w:sz w:val="20"/>
          <w:szCs w:val="20"/>
        </w:rPr>
        <w:t>Tabela I</w:t>
      </w:r>
      <w:r>
        <w:rPr>
          <w:sz w:val="20"/>
          <w:szCs w:val="20"/>
        </w:rPr>
        <w:t xml:space="preserve"> – Dimensões Estratégicas Avaliadas, Deficiências Detectadas e Ações de Melhoria Sugeridas na avaliação da </w:t>
      </w:r>
      <w:proofErr w:type="spellStart"/>
      <w:r>
        <w:rPr>
          <w:sz w:val="20"/>
          <w:szCs w:val="20"/>
        </w:rPr>
        <w:t>Gespública</w:t>
      </w:r>
      <w:proofErr w:type="spellEnd"/>
      <w:r>
        <w:rPr>
          <w:sz w:val="20"/>
          <w:szCs w:val="20"/>
        </w:rPr>
        <w:t xml:space="preserve"> no ano de 2016:</w:t>
      </w:r>
    </w:p>
    <w:tbl>
      <w:tblPr>
        <w:tblStyle w:val="a"/>
        <w:tblW w:w="98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3825"/>
        <w:gridCol w:w="4410"/>
      </w:tblGrid>
      <w:tr w:rsidR="004E5AD9">
        <w:trPr>
          <w:trHeight w:val="560"/>
        </w:trPr>
        <w:tc>
          <w:tcPr>
            <w:tcW w:w="1635" w:type="dxa"/>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DIMENSÕES</w:t>
            </w:r>
          </w:p>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ESTRATÉGICAS</w:t>
            </w:r>
          </w:p>
        </w:tc>
        <w:tc>
          <w:tcPr>
            <w:tcW w:w="3825" w:type="dxa"/>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DEFICIÊNCIAS</w:t>
            </w:r>
          </w:p>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DETECTADAS</w:t>
            </w:r>
          </w:p>
        </w:tc>
        <w:tc>
          <w:tcPr>
            <w:tcW w:w="4410" w:type="dxa"/>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AÇÕES DE</w:t>
            </w:r>
          </w:p>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MELHORIA</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Governança</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Não possuir um instrumento institucionalizado para identificar futuros gestores.</w:t>
            </w:r>
          </w:p>
        </w:tc>
        <w:tc>
          <w:tcPr>
            <w:tcW w:w="4410"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highlight w:val="white"/>
              </w:rPr>
              <w:t>Sistematizar o processo de identificação do perfil de líder.</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Estratégias e Planos</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 xml:space="preserve">Necessidade de planejamento com foco em ações socioambientais e econômico.  </w:t>
            </w:r>
          </w:p>
          <w:p w:rsidR="004E5AD9" w:rsidRDefault="004E5AD9">
            <w:pPr>
              <w:widowControl/>
              <w:contextualSpacing w:val="0"/>
              <w:rPr>
                <w:rFonts w:ascii="Calibri" w:eastAsia="Calibri" w:hAnsi="Calibri" w:cs="Calibri"/>
                <w:sz w:val="20"/>
                <w:szCs w:val="20"/>
              </w:rPr>
            </w:pPr>
          </w:p>
        </w:tc>
        <w:tc>
          <w:tcPr>
            <w:tcW w:w="4410" w:type="dxa"/>
            <w:tcMar>
              <w:top w:w="100" w:type="dxa"/>
              <w:left w:w="100" w:type="dxa"/>
              <w:bottom w:w="100" w:type="dxa"/>
              <w:right w:w="100" w:type="dxa"/>
            </w:tcMar>
          </w:tcPr>
          <w:p w:rsidR="004E5AD9" w:rsidRDefault="00956AB7">
            <w:pPr>
              <w:contextualSpacing w:val="0"/>
              <w:rPr>
                <w:sz w:val="20"/>
                <w:szCs w:val="20"/>
              </w:rPr>
            </w:pPr>
            <w:r>
              <w:rPr>
                <w:sz w:val="20"/>
                <w:szCs w:val="20"/>
              </w:rPr>
              <w:t>Reorganização do planejamento estratégico com foco na participação das políticas públicas e ações que tragam um melhor impacto social, econômico e ambiental para a sociedade</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Público Alvo</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 xml:space="preserve">Necessidade de elaboração da carta de serviço da POLITEC. </w:t>
            </w:r>
          </w:p>
        </w:tc>
        <w:tc>
          <w:tcPr>
            <w:tcW w:w="4410" w:type="dxa"/>
            <w:vAlign w:val="center"/>
          </w:tcPr>
          <w:p w:rsidR="004E5AD9" w:rsidRDefault="00956AB7">
            <w:pPr>
              <w:widowControl/>
              <w:contextualSpacing w:val="0"/>
              <w:rPr>
                <w:rFonts w:ascii="Calibri" w:eastAsia="Calibri" w:hAnsi="Calibri" w:cs="Calibri"/>
                <w:sz w:val="20"/>
                <w:szCs w:val="20"/>
                <w:highlight w:val="white"/>
              </w:rPr>
            </w:pPr>
            <w:proofErr w:type="gramStart"/>
            <w:r>
              <w:rPr>
                <w:rFonts w:ascii="Calibri" w:eastAsia="Calibri" w:hAnsi="Calibri" w:cs="Calibri"/>
                <w:sz w:val="20"/>
                <w:szCs w:val="20"/>
                <w:highlight w:val="white"/>
              </w:rPr>
              <w:t>elaboração</w:t>
            </w:r>
            <w:proofErr w:type="gramEnd"/>
            <w:r>
              <w:rPr>
                <w:rFonts w:ascii="Calibri" w:eastAsia="Calibri" w:hAnsi="Calibri" w:cs="Calibri"/>
                <w:sz w:val="20"/>
                <w:szCs w:val="20"/>
                <w:highlight w:val="white"/>
              </w:rPr>
              <w:t xml:space="preserve"> e divulgação da carta de serviço da POLITEC.</w:t>
            </w:r>
          </w:p>
          <w:p w:rsidR="004E5AD9" w:rsidRDefault="004E5AD9">
            <w:pPr>
              <w:widowControl/>
              <w:contextualSpacing w:val="0"/>
              <w:rPr>
                <w:rFonts w:ascii="Calibri" w:eastAsia="Calibri" w:hAnsi="Calibri" w:cs="Calibri"/>
                <w:sz w:val="20"/>
                <w:szCs w:val="20"/>
              </w:rPr>
            </w:pP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Interesse Público e Cidadania</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Necessidade de conscientização dos servidores em relação à qualidade dos gastos públicos.</w:t>
            </w:r>
          </w:p>
        </w:tc>
        <w:tc>
          <w:tcPr>
            <w:tcW w:w="4410" w:type="dxa"/>
            <w:vAlign w:val="center"/>
          </w:tcPr>
          <w:p w:rsidR="004E5AD9" w:rsidRDefault="00956AB7">
            <w:pPr>
              <w:widowControl/>
              <w:contextualSpacing w:val="0"/>
              <w:rPr>
                <w:rFonts w:ascii="Calibri" w:eastAsia="Calibri" w:hAnsi="Calibri" w:cs="Calibri"/>
                <w:sz w:val="20"/>
                <w:szCs w:val="20"/>
              </w:rPr>
            </w:pPr>
            <w:bookmarkStart w:id="1" w:name="_gjdgxs" w:colFirst="0" w:colLast="0"/>
            <w:bookmarkEnd w:id="1"/>
            <w:r>
              <w:rPr>
                <w:rFonts w:ascii="Calibri" w:eastAsia="Calibri" w:hAnsi="Calibri" w:cs="Calibri"/>
                <w:sz w:val="20"/>
                <w:szCs w:val="20"/>
                <w:highlight w:val="white"/>
              </w:rPr>
              <w:t>Implantar campanha de conscientização dos servidores e demais partes interessadas sobre o gasto público.</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Informação e Conhecimento</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A instituição precisa de melhorias no compartilhamento dos conhecimentos técnico-científicos obtidos.</w:t>
            </w:r>
          </w:p>
        </w:tc>
        <w:tc>
          <w:tcPr>
            <w:tcW w:w="4410"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 xml:space="preserve">Criar canais de divulgação dos conhecimentos técnico-científicos produzidos pela instituição. </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Pessoas</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Não há um sistema e nem indicadores de avaliação do clima organizacional.</w:t>
            </w:r>
          </w:p>
        </w:tc>
        <w:tc>
          <w:tcPr>
            <w:tcW w:w="4410"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Implantar comissão para avaliar e propor melhorias do clima organizacional</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Processos</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Ausência de sistematização e documentação dos processos finalísticos e processos de apoio da instituição.</w:t>
            </w:r>
          </w:p>
        </w:tc>
        <w:tc>
          <w:tcPr>
            <w:tcW w:w="4410" w:type="dxa"/>
            <w:vAlign w:val="center"/>
          </w:tcPr>
          <w:p w:rsidR="004E5AD9" w:rsidRDefault="00956AB7">
            <w:pPr>
              <w:contextualSpacing w:val="0"/>
              <w:rPr>
                <w:rFonts w:ascii="Calibri" w:eastAsia="Calibri" w:hAnsi="Calibri" w:cs="Calibri"/>
                <w:sz w:val="20"/>
                <w:szCs w:val="20"/>
              </w:rPr>
            </w:pPr>
            <w:r>
              <w:rPr>
                <w:sz w:val="20"/>
                <w:szCs w:val="20"/>
              </w:rPr>
              <w:t>Mapeamento dos processos finalísticos e processos de apoio da instituição;</w:t>
            </w:r>
          </w:p>
        </w:tc>
      </w:tr>
      <w:tr w:rsidR="004E5AD9">
        <w:tc>
          <w:tcPr>
            <w:tcW w:w="1635" w:type="dxa"/>
            <w:vAlign w:val="center"/>
          </w:tcPr>
          <w:p w:rsidR="004E5AD9" w:rsidRDefault="00956AB7">
            <w:pPr>
              <w:widowControl/>
              <w:contextualSpacing w:val="0"/>
              <w:jc w:val="center"/>
              <w:rPr>
                <w:rFonts w:ascii="Calibri" w:eastAsia="Calibri" w:hAnsi="Calibri" w:cs="Calibri"/>
                <w:sz w:val="20"/>
                <w:szCs w:val="20"/>
              </w:rPr>
            </w:pPr>
            <w:r>
              <w:rPr>
                <w:rFonts w:ascii="Calibri" w:eastAsia="Calibri" w:hAnsi="Calibri" w:cs="Calibri"/>
                <w:sz w:val="20"/>
                <w:szCs w:val="20"/>
              </w:rPr>
              <w:t>Resultados</w:t>
            </w:r>
          </w:p>
        </w:tc>
        <w:tc>
          <w:tcPr>
            <w:tcW w:w="3825" w:type="dxa"/>
            <w:vAlign w:val="center"/>
          </w:tcPr>
          <w:p w:rsidR="004E5AD9" w:rsidRDefault="00956AB7">
            <w:pPr>
              <w:widowControl/>
              <w:contextualSpacing w:val="0"/>
              <w:rPr>
                <w:rFonts w:ascii="Calibri" w:eastAsia="Calibri" w:hAnsi="Calibri" w:cs="Calibri"/>
                <w:sz w:val="20"/>
                <w:szCs w:val="20"/>
              </w:rPr>
            </w:pPr>
            <w:r>
              <w:rPr>
                <w:rFonts w:ascii="Calibri" w:eastAsia="Calibri" w:hAnsi="Calibri" w:cs="Calibri"/>
                <w:sz w:val="20"/>
                <w:szCs w:val="20"/>
              </w:rPr>
              <w:t>Deficiência dos indicadores de resultados</w:t>
            </w:r>
          </w:p>
        </w:tc>
        <w:tc>
          <w:tcPr>
            <w:tcW w:w="4410" w:type="dxa"/>
            <w:vAlign w:val="center"/>
          </w:tcPr>
          <w:p w:rsidR="004E5AD9" w:rsidRDefault="00956AB7">
            <w:pPr>
              <w:contextualSpacing w:val="0"/>
              <w:jc w:val="left"/>
              <w:rPr>
                <w:rFonts w:ascii="Calibri" w:eastAsia="Calibri" w:hAnsi="Calibri" w:cs="Calibri"/>
                <w:sz w:val="20"/>
                <w:szCs w:val="20"/>
              </w:rPr>
            </w:pPr>
            <w:r>
              <w:rPr>
                <w:sz w:val="20"/>
                <w:szCs w:val="20"/>
              </w:rPr>
              <w:t>Elaboração de indicadores de eficácia e eficiência de Resultados</w:t>
            </w:r>
          </w:p>
        </w:tc>
      </w:tr>
    </w:tbl>
    <w:p w:rsidR="004E5AD9" w:rsidRDefault="004E5AD9">
      <w:pPr>
        <w:spacing w:line="240" w:lineRule="auto"/>
        <w:rPr>
          <w:sz w:val="20"/>
          <w:szCs w:val="20"/>
        </w:rPr>
      </w:pPr>
    </w:p>
    <w:p w:rsidR="004E5AD9" w:rsidRDefault="004E5AD9">
      <w:pPr>
        <w:spacing w:line="240" w:lineRule="auto"/>
        <w:rPr>
          <w:sz w:val="20"/>
          <w:szCs w:val="20"/>
        </w:rPr>
      </w:pPr>
    </w:p>
    <w:p w:rsidR="004E5AD9" w:rsidRDefault="00956AB7">
      <w:pPr>
        <w:spacing w:line="240" w:lineRule="auto"/>
        <w:rPr>
          <w:b/>
          <w:sz w:val="22"/>
          <w:szCs w:val="22"/>
        </w:rPr>
      </w:pPr>
      <w:r>
        <w:rPr>
          <w:b/>
          <w:sz w:val="22"/>
          <w:szCs w:val="22"/>
        </w:rPr>
        <w:t>CONCLUSÃO</w:t>
      </w:r>
    </w:p>
    <w:p w:rsidR="004E5AD9" w:rsidRDefault="00956AB7">
      <w:pPr>
        <w:spacing w:line="240" w:lineRule="auto"/>
        <w:ind w:firstLine="851"/>
        <w:rPr>
          <w:sz w:val="22"/>
          <w:szCs w:val="22"/>
        </w:rPr>
      </w:pPr>
      <w:r>
        <w:rPr>
          <w:sz w:val="22"/>
          <w:szCs w:val="22"/>
        </w:rPr>
        <w:lastRenderedPageBreak/>
        <w:t xml:space="preserve"> A adesão ao programa </w:t>
      </w:r>
      <w:proofErr w:type="spellStart"/>
      <w:r>
        <w:rPr>
          <w:sz w:val="22"/>
          <w:szCs w:val="22"/>
        </w:rPr>
        <w:t>Gespública</w:t>
      </w:r>
      <w:proofErr w:type="spellEnd"/>
      <w:r>
        <w:rPr>
          <w:sz w:val="22"/>
          <w:szCs w:val="22"/>
        </w:rPr>
        <w:t xml:space="preserve"> e, consequentemente a autoavaliação da prática de</w:t>
      </w:r>
      <w:proofErr w:type="gramStart"/>
      <w:r>
        <w:rPr>
          <w:sz w:val="22"/>
          <w:szCs w:val="22"/>
        </w:rPr>
        <w:t xml:space="preserve">  </w:t>
      </w:r>
      <w:proofErr w:type="gramEnd"/>
      <w:r>
        <w:rPr>
          <w:sz w:val="22"/>
          <w:szCs w:val="22"/>
        </w:rPr>
        <w:t xml:space="preserve">gestão, possibilitou à POLITEC uma visão sistêmica do grau de desenvolvimento institucional e da gestão. Enfatizou a já evidente falta de indicadores que balizasse as decisões estratégicas; a necessidade de pesquisa de satisfação do cidadão usuário; deixou evidente a deficiência no sistema de comunicação institucional; evidenciou a quase ausência de projetos de responsabilidade socioambiental;  </w:t>
      </w:r>
    </w:p>
    <w:p w:rsidR="004E5AD9" w:rsidRDefault="00956AB7">
      <w:pPr>
        <w:spacing w:line="240" w:lineRule="auto"/>
        <w:ind w:firstLine="851"/>
        <w:rPr>
          <w:sz w:val="22"/>
          <w:szCs w:val="22"/>
        </w:rPr>
      </w:pPr>
      <w:r>
        <w:rPr>
          <w:sz w:val="22"/>
          <w:szCs w:val="22"/>
        </w:rPr>
        <w:t>Em contrapartida, o autoconhecimento possibilitou a adoção de uma cultura organizacional com c</w:t>
      </w:r>
      <w:r w:rsidR="00733EA7">
        <w:rPr>
          <w:sz w:val="22"/>
          <w:szCs w:val="22"/>
        </w:rPr>
        <w:t xml:space="preserve">aracterísticas mais proativas, </w:t>
      </w:r>
      <w:r>
        <w:rPr>
          <w:sz w:val="22"/>
          <w:szCs w:val="22"/>
        </w:rPr>
        <w:t>com maior predisposição à mudança, à inovação e à consolidação gradativa da eficiência, eficácia e efetividade da gestão. Oportunizou correções de rumos, possibilitando adoção de melhores práticas e, principalmente a utilização das Forças para melhor aproveitamento das Oportunidades, corrigindo as Fraquezas e monitorando as Ameaças.</w:t>
      </w:r>
    </w:p>
    <w:p w:rsidR="004E5AD9" w:rsidRDefault="004E5AD9">
      <w:pPr>
        <w:spacing w:line="240" w:lineRule="auto"/>
        <w:ind w:firstLine="851"/>
        <w:rPr>
          <w:sz w:val="22"/>
          <w:szCs w:val="22"/>
        </w:rPr>
      </w:pPr>
    </w:p>
    <w:p w:rsidR="004E5AD9" w:rsidRDefault="00956AB7">
      <w:pPr>
        <w:spacing w:line="240" w:lineRule="auto"/>
        <w:rPr>
          <w:b/>
          <w:sz w:val="22"/>
          <w:szCs w:val="22"/>
        </w:rPr>
      </w:pPr>
      <w:r>
        <w:rPr>
          <w:b/>
          <w:sz w:val="22"/>
          <w:szCs w:val="22"/>
        </w:rPr>
        <w:t>REFERÊNCIAS BIBLIOGRÁFICAS</w:t>
      </w:r>
    </w:p>
    <w:p w:rsidR="00733EA7" w:rsidRDefault="00733EA7" w:rsidP="00733EA7">
      <w:pPr>
        <w:pStyle w:val="Bibliografia"/>
        <w:ind w:left="720" w:hanging="720"/>
        <w:rPr>
          <w:noProof/>
        </w:rPr>
      </w:pPr>
      <w:r>
        <w:fldChar w:fldCharType="begin"/>
      </w:r>
      <w:r>
        <w:instrText xml:space="preserve"> BIBLIOGRAPHY  \l 1046 </w:instrText>
      </w:r>
      <w:r>
        <w:fldChar w:fldCharType="separate"/>
      </w:r>
      <w:r>
        <w:rPr>
          <w:noProof/>
        </w:rPr>
        <w:t xml:space="preserve">Batista, F. F. (Maio de 1999). </w:t>
      </w:r>
      <w:r>
        <w:rPr>
          <w:i/>
          <w:iCs/>
          <w:noProof/>
        </w:rPr>
        <w:t>A Avaliação daGestão Pública no Contexto da Reforma do Aparelho do Estado.</w:t>
      </w:r>
      <w:r>
        <w:rPr>
          <w:noProof/>
        </w:rPr>
        <w:t xml:space="preserve"> Fonte: http://ipea.gov.br/: http://ipea.gov.br/agencia/images/stories/PDFs/TDs/td_0644.pdf</w:t>
      </w:r>
    </w:p>
    <w:p w:rsidR="00733EA7" w:rsidRDefault="00733EA7" w:rsidP="00733EA7">
      <w:pPr>
        <w:pStyle w:val="Bibliografia"/>
        <w:ind w:left="720" w:hanging="720"/>
        <w:rPr>
          <w:noProof/>
        </w:rPr>
      </w:pPr>
      <w:r>
        <w:rPr>
          <w:noProof/>
        </w:rPr>
        <w:t xml:space="preserve">Brasil. Ministério do Planejamento, Orçamento e Gestão. (2014). </w:t>
      </w:r>
      <w:r>
        <w:rPr>
          <w:i/>
          <w:iCs/>
          <w:noProof/>
        </w:rPr>
        <w:t>Programa G E S P Ú B L I C A , M o d e lo d e E x c e l ê n c i a e m.</w:t>
      </w:r>
      <w:r>
        <w:rPr>
          <w:noProof/>
        </w:rPr>
        <w:t xml:space="preserve"> Brasília: SEGEP.</w:t>
      </w:r>
    </w:p>
    <w:p w:rsidR="00733EA7" w:rsidRDefault="00733EA7" w:rsidP="00733EA7">
      <w:pPr>
        <w:pStyle w:val="Bibliografia"/>
        <w:ind w:left="720" w:hanging="720"/>
        <w:rPr>
          <w:noProof/>
        </w:rPr>
      </w:pPr>
      <w:r>
        <w:rPr>
          <w:noProof/>
        </w:rPr>
        <w:t xml:space="preserve">Programa Nacional de Gest„o P˙blica e DesburocratizaÁ„o. (Abril de 2006). </w:t>
      </w:r>
      <w:r>
        <w:rPr>
          <w:i/>
          <w:iCs/>
          <w:noProof/>
        </w:rPr>
        <w:t>http://ww2.prefeitura.sp.gov.br/.</w:t>
      </w:r>
      <w:r>
        <w:rPr>
          <w:noProof/>
        </w:rPr>
        <w:t xml:space="preserve"> Fonte: http://ww2.prefeitura.sp.gov.br/: http://ww2.prefeitura.sp.gov.br/arquivos/secretarias/subprefeituras/pqgp/materiais_consulta/0001/instrumento-250-pontos.pdf</w:t>
      </w:r>
    </w:p>
    <w:p w:rsidR="00733EA7" w:rsidRDefault="00733EA7" w:rsidP="00733EA7">
      <w:pPr>
        <w:pStyle w:val="Bibliografia"/>
        <w:ind w:left="720" w:hanging="720"/>
        <w:rPr>
          <w:noProof/>
        </w:rPr>
      </w:pPr>
      <w:r>
        <w:rPr>
          <w:noProof/>
        </w:rPr>
        <w:t xml:space="preserve">Silva, P. M., &amp; Silva, R. F. (07 de 2017). Excelência dirigida ao cidadão: uma abordagem do Programa da Qualidade no Serviço. </w:t>
      </w:r>
      <w:r>
        <w:rPr>
          <w:i/>
          <w:iCs/>
          <w:noProof/>
        </w:rPr>
        <w:t xml:space="preserve">Congresso Virtual Brasileiro de Administração </w:t>
      </w:r>
      <w:r>
        <w:rPr>
          <w:noProof/>
        </w:rPr>
        <w:t>, p. 06.</w:t>
      </w:r>
    </w:p>
    <w:p w:rsidR="00BF0792" w:rsidRDefault="00733EA7" w:rsidP="00733EA7">
      <w:r>
        <w:fldChar w:fldCharType="end"/>
      </w:r>
    </w:p>
    <w:p w:rsidR="00BF0792" w:rsidRDefault="00BF0792" w:rsidP="00BF0792"/>
    <w:p w:rsidR="00733EA7" w:rsidRDefault="00733EA7" w:rsidP="00BF0792"/>
    <w:p w:rsidR="004E5AD9" w:rsidRDefault="004E5AD9"/>
    <w:sectPr w:rsidR="004E5AD9">
      <w:headerReference w:type="default" r:id="rId8"/>
      <w:footerReference w:type="default" r:id="rId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B7" w:rsidRDefault="00956AB7">
      <w:pPr>
        <w:spacing w:line="240" w:lineRule="auto"/>
      </w:pPr>
      <w:r>
        <w:separator/>
      </w:r>
    </w:p>
  </w:endnote>
  <w:endnote w:type="continuationSeparator" w:id="0">
    <w:p w:rsidR="00956AB7" w:rsidRDefault="0095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D9" w:rsidRDefault="00956AB7">
    <w:pPr>
      <w:tabs>
        <w:tab w:val="center" w:pos="4252"/>
        <w:tab w:val="right" w:pos="8504"/>
      </w:tabs>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82635F">
      <w:rPr>
        <w:noProof/>
        <w:sz w:val="20"/>
        <w:szCs w:val="20"/>
      </w:rPr>
      <w:t>1</w:t>
    </w:r>
    <w:r>
      <w:rPr>
        <w:sz w:val="20"/>
        <w:szCs w:val="20"/>
      </w:rPr>
      <w:fldChar w:fldCharType="end"/>
    </w:r>
  </w:p>
  <w:p w:rsidR="004E5AD9" w:rsidRDefault="004E5AD9">
    <w:pPr>
      <w:tabs>
        <w:tab w:val="center" w:pos="4252"/>
        <w:tab w:val="right" w:pos="8504"/>
      </w:tabs>
      <w:spacing w:after="214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B7" w:rsidRDefault="00956AB7">
      <w:pPr>
        <w:spacing w:line="240" w:lineRule="auto"/>
      </w:pPr>
      <w:r>
        <w:separator/>
      </w:r>
    </w:p>
  </w:footnote>
  <w:footnote w:type="continuationSeparator" w:id="0">
    <w:p w:rsidR="00956AB7" w:rsidRDefault="00956A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D9" w:rsidRDefault="00956AB7">
    <w:pPr>
      <w:tabs>
        <w:tab w:val="center" w:pos="4252"/>
        <w:tab w:val="right" w:pos="8504"/>
      </w:tabs>
      <w:spacing w:before="426" w:line="240" w:lineRule="auto"/>
      <w:jc w:val="center"/>
      <w:rPr>
        <w:sz w:val="22"/>
        <w:szCs w:val="22"/>
      </w:rPr>
    </w:pPr>
    <w:r>
      <w:rPr>
        <w:sz w:val="22"/>
        <w:szCs w:val="22"/>
      </w:rPr>
      <w:t>XXIV Congresso Nacional de Criminalística, VII Congresso Internacional de Perícia Criminal e</w:t>
    </w:r>
  </w:p>
  <w:p w:rsidR="004E5AD9" w:rsidRDefault="00956AB7">
    <w:pPr>
      <w:tabs>
        <w:tab w:val="center" w:pos="4252"/>
        <w:tab w:val="right" w:pos="8504"/>
      </w:tabs>
      <w:spacing w:line="240" w:lineRule="auto"/>
      <w:jc w:val="center"/>
      <w:rPr>
        <w:sz w:val="22"/>
        <w:szCs w:val="22"/>
      </w:rPr>
    </w:pPr>
    <w:r>
      <w:rPr>
        <w:sz w:val="22"/>
        <w:szCs w:val="22"/>
      </w:rPr>
      <w:t>XXIV Exposição de Tecnologias Aplicadas à Criminalística</w:t>
    </w:r>
  </w:p>
  <w:p w:rsidR="004E5AD9" w:rsidRDefault="00956AB7">
    <w:pPr>
      <w:tabs>
        <w:tab w:val="center" w:pos="4252"/>
        <w:tab w:val="right" w:pos="8504"/>
      </w:tabs>
      <w:spacing w:line="240" w:lineRule="auto"/>
      <w:jc w:val="center"/>
      <w:rPr>
        <w:i/>
        <w:sz w:val="20"/>
        <w:szCs w:val="20"/>
      </w:rPr>
    </w:pPr>
    <w:r>
      <w:rPr>
        <w:i/>
        <w:sz w:val="20"/>
        <w:szCs w:val="20"/>
      </w:rPr>
      <w:t>Florianópolis-SC, 02 a 06 de outubro de 2017.</w:t>
    </w:r>
  </w:p>
  <w:p w:rsidR="004E5AD9" w:rsidRDefault="004E5AD9">
    <w:pPr>
      <w:tabs>
        <w:tab w:val="center" w:pos="4252"/>
        <w:tab w:val="right" w:pos="8504"/>
      </w:tabs>
      <w:spacing w:line="240" w:lineRule="auto"/>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5AD9"/>
    <w:rsid w:val="003F028D"/>
    <w:rsid w:val="00471ED3"/>
    <w:rsid w:val="004E5AD9"/>
    <w:rsid w:val="004F348E"/>
    <w:rsid w:val="00733EA7"/>
    <w:rsid w:val="00742146"/>
    <w:rsid w:val="0082635F"/>
    <w:rsid w:val="00956AB7"/>
    <w:rsid w:val="00BF0792"/>
    <w:rsid w:val="00BF2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widowControl w:val="0"/>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uiPriority w:val="9"/>
    <w:qFormat/>
    <w:pPr>
      <w:keepNext/>
      <w:keepLines/>
      <w:spacing w:before="240" w:after="60"/>
      <w:contextualSpacing/>
      <w:outlineLvl w:val="0"/>
    </w:pPr>
    <w:rPr>
      <w:rFonts w:ascii="Arial" w:eastAsia="Arial" w:hAnsi="Arial" w:cs="Arial"/>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character" w:customStyle="1" w:styleId="Ttulo1Char">
    <w:name w:val="Título 1 Char"/>
    <w:basedOn w:val="Fontepargpadro"/>
    <w:link w:val="Ttulo1"/>
    <w:uiPriority w:val="9"/>
    <w:rsid w:val="00BF2FB2"/>
    <w:rPr>
      <w:rFonts w:ascii="Arial" w:eastAsia="Arial" w:hAnsi="Arial" w:cs="Arial"/>
      <w:b/>
      <w:sz w:val="32"/>
      <w:szCs w:val="32"/>
    </w:rPr>
  </w:style>
  <w:style w:type="paragraph" w:styleId="Bibliografia">
    <w:name w:val="Bibliography"/>
    <w:basedOn w:val="Normal"/>
    <w:next w:val="Normal"/>
    <w:uiPriority w:val="37"/>
    <w:unhideWhenUsed/>
    <w:rsid w:val="00BF2FB2"/>
  </w:style>
  <w:style w:type="paragraph" w:styleId="Textodebalo">
    <w:name w:val="Balloon Text"/>
    <w:basedOn w:val="Normal"/>
    <w:link w:val="TextodebaloChar"/>
    <w:uiPriority w:val="99"/>
    <w:semiHidden/>
    <w:unhideWhenUsed/>
    <w:rsid w:val="00BF079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0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widowControl w:val="0"/>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uiPriority w:val="9"/>
    <w:qFormat/>
    <w:pPr>
      <w:keepNext/>
      <w:keepLines/>
      <w:spacing w:before="240" w:after="60"/>
      <w:contextualSpacing/>
      <w:outlineLvl w:val="0"/>
    </w:pPr>
    <w:rPr>
      <w:rFonts w:ascii="Arial" w:eastAsia="Arial" w:hAnsi="Arial" w:cs="Arial"/>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character" w:customStyle="1" w:styleId="Ttulo1Char">
    <w:name w:val="Título 1 Char"/>
    <w:basedOn w:val="Fontepargpadro"/>
    <w:link w:val="Ttulo1"/>
    <w:uiPriority w:val="9"/>
    <w:rsid w:val="00BF2FB2"/>
    <w:rPr>
      <w:rFonts w:ascii="Arial" w:eastAsia="Arial" w:hAnsi="Arial" w:cs="Arial"/>
      <w:b/>
      <w:sz w:val="32"/>
      <w:szCs w:val="32"/>
    </w:rPr>
  </w:style>
  <w:style w:type="paragraph" w:styleId="Bibliografia">
    <w:name w:val="Bibliography"/>
    <w:basedOn w:val="Normal"/>
    <w:next w:val="Normal"/>
    <w:uiPriority w:val="37"/>
    <w:unhideWhenUsed/>
    <w:rsid w:val="00BF2FB2"/>
  </w:style>
  <w:style w:type="paragraph" w:styleId="Textodebalo">
    <w:name w:val="Balloon Text"/>
    <w:basedOn w:val="Normal"/>
    <w:link w:val="TextodebaloChar"/>
    <w:uiPriority w:val="99"/>
    <w:semiHidden/>
    <w:unhideWhenUsed/>
    <w:rsid w:val="00BF079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14">
      <w:bodyDiv w:val="1"/>
      <w:marLeft w:val="0"/>
      <w:marRight w:val="0"/>
      <w:marTop w:val="0"/>
      <w:marBottom w:val="0"/>
      <w:divBdr>
        <w:top w:val="none" w:sz="0" w:space="0" w:color="auto"/>
        <w:left w:val="none" w:sz="0" w:space="0" w:color="auto"/>
        <w:bottom w:val="none" w:sz="0" w:space="0" w:color="auto"/>
        <w:right w:val="none" w:sz="0" w:space="0" w:color="auto"/>
      </w:divBdr>
    </w:div>
    <w:div w:id="9724874">
      <w:bodyDiv w:val="1"/>
      <w:marLeft w:val="0"/>
      <w:marRight w:val="0"/>
      <w:marTop w:val="0"/>
      <w:marBottom w:val="0"/>
      <w:divBdr>
        <w:top w:val="none" w:sz="0" w:space="0" w:color="auto"/>
        <w:left w:val="none" w:sz="0" w:space="0" w:color="auto"/>
        <w:bottom w:val="none" w:sz="0" w:space="0" w:color="auto"/>
        <w:right w:val="none" w:sz="0" w:space="0" w:color="auto"/>
      </w:divBdr>
    </w:div>
    <w:div w:id="70082648">
      <w:bodyDiv w:val="1"/>
      <w:marLeft w:val="0"/>
      <w:marRight w:val="0"/>
      <w:marTop w:val="0"/>
      <w:marBottom w:val="0"/>
      <w:divBdr>
        <w:top w:val="none" w:sz="0" w:space="0" w:color="auto"/>
        <w:left w:val="none" w:sz="0" w:space="0" w:color="auto"/>
        <w:bottom w:val="none" w:sz="0" w:space="0" w:color="auto"/>
        <w:right w:val="none" w:sz="0" w:space="0" w:color="auto"/>
      </w:divBdr>
    </w:div>
    <w:div w:id="144594555">
      <w:bodyDiv w:val="1"/>
      <w:marLeft w:val="0"/>
      <w:marRight w:val="0"/>
      <w:marTop w:val="0"/>
      <w:marBottom w:val="0"/>
      <w:divBdr>
        <w:top w:val="none" w:sz="0" w:space="0" w:color="auto"/>
        <w:left w:val="none" w:sz="0" w:space="0" w:color="auto"/>
        <w:bottom w:val="none" w:sz="0" w:space="0" w:color="auto"/>
        <w:right w:val="none" w:sz="0" w:space="0" w:color="auto"/>
      </w:divBdr>
    </w:div>
    <w:div w:id="154608283">
      <w:bodyDiv w:val="1"/>
      <w:marLeft w:val="0"/>
      <w:marRight w:val="0"/>
      <w:marTop w:val="0"/>
      <w:marBottom w:val="0"/>
      <w:divBdr>
        <w:top w:val="none" w:sz="0" w:space="0" w:color="auto"/>
        <w:left w:val="none" w:sz="0" w:space="0" w:color="auto"/>
        <w:bottom w:val="none" w:sz="0" w:space="0" w:color="auto"/>
        <w:right w:val="none" w:sz="0" w:space="0" w:color="auto"/>
      </w:divBdr>
    </w:div>
    <w:div w:id="185214396">
      <w:bodyDiv w:val="1"/>
      <w:marLeft w:val="0"/>
      <w:marRight w:val="0"/>
      <w:marTop w:val="0"/>
      <w:marBottom w:val="0"/>
      <w:divBdr>
        <w:top w:val="none" w:sz="0" w:space="0" w:color="auto"/>
        <w:left w:val="none" w:sz="0" w:space="0" w:color="auto"/>
        <w:bottom w:val="none" w:sz="0" w:space="0" w:color="auto"/>
        <w:right w:val="none" w:sz="0" w:space="0" w:color="auto"/>
      </w:divBdr>
    </w:div>
    <w:div w:id="414598000">
      <w:bodyDiv w:val="1"/>
      <w:marLeft w:val="0"/>
      <w:marRight w:val="0"/>
      <w:marTop w:val="0"/>
      <w:marBottom w:val="0"/>
      <w:divBdr>
        <w:top w:val="none" w:sz="0" w:space="0" w:color="auto"/>
        <w:left w:val="none" w:sz="0" w:space="0" w:color="auto"/>
        <w:bottom w:val="none" w:sz="0" w:space="0" w:color="auto"/>
        <w:right w:val="none" w:sz="0" w:space="0" w:color="auto"/>
      </w:divBdr>
    </w:div>
    <w:div w:id="416556354">
      <w:bodyDiv w:val="1"/>
      <w:marLeft w:val="0"/>
      <w:marRight w:val="0"/>
      <w:marTop w:val="0"/>
      <w:marBottom w:val="0"/>
      <w:divBdr>
        <w:top w:val="none" w:sz="0" w:space="0" w:color="auto"/>
        <w:left w:val="none" w:sz="0" w:space="0" w:color="auto"/>
        <w:bottom w:val="none" w:sz="0" w:space="0" w:color="auto"/>
        <w:right w:val="none" w:sz="0" w:space="0" w:color="auto"/>
      </w:divBdr>
    </w:div>
    <w:div w:id="497699441">
      <w:bodyDiv w:val="1"/>
      <w:marLeft w:val="0"/>
      <w:marRight w:val="0"/>
      <w:marTop w:val="0"/>
      <w:marBottom w:val="0"/>
      <w:divBdr>
        <w:top w:val="none" w:sz="0" w:space="0" w:color="auto"/>
        <w:left w:val="none" w:sz="0" w:space="0" w:color="auto"/>
        <w:bottom w:val="none" w:sz="0" w:space="0" w:color="auto"/>
        <w:right w:val="none" w:sz="0" w:space="0" w:color="auto"/>
      </w:divBdr>
    </w:div>
    <w:div w:id="571819939">
      <w:bodyDiv w:val="1"/>
      <w:marLeft w:val="0"/>
      <w:marRight w:val="0"/>
      <w:marTop w:val="0"/>
      <w:marBottom w:val="0"/>
      <w:divBdr>
        <w:top w:val="none" w:sz="0" w:space="0" w:color="auto"/>
        <w:left w:val="none" w:sz="0" w:space="0" w:color="auto"/>
        <w:bottom w:val="none" w:sz="0" w:space="0" w:color="auto"/>
        <w:right w:val="none" w:sz="0" w:space="0" w:color="auto"/>
      </w:divBdr>
    </w:div>
    <w:div w:id="593174385">
      <w:bodyDiv w:val="1"/>
      <w:marLeft w:val="0"/>
      <w:marRight w:val="0"/>
      <w:marTop w:val="0"/>
      <w:marBottom w:val="0"/>
      <w:divBdr>
        <w:top w:val="none" w:sz="0" w:space="0" w:color="auto"/>
        <w:left w:val="none" w:sz="0" w:space="0" w:color="auto"/>
        <w:bottom w:val="none" w:sz="0" w:space="0" w:color="auto"/>
        <w:right w:val="none" w:sz="0" w:space="0" w:color="auto"/>
      </w:divBdr>
    </w:div>
    <w:div w:id="603877515">
      <w:bodyDiv w:val="1"/>
      <w:marLeft w:val="0"/>
      <w:marRight w:val="0"/>
      <w:marTop w:val="0"/>
      <w:marBottom w:val="0"/>
      <w:divBdr>
        <w:top w:val="none" w:sz="0" w:space="0" w:color="auto"/>
        <w:left w:val="none" w:sz="0" w:space="0" w:color="auto"/>
        <w:bottom w:val="none" w:sz="0" w:space="0" w:color="auto"/>
        <w:right w:val="none" w:sz="0" w:space="0" w:color="auto"/>
      </w:divBdr>
    </w:div>
    <w:div w:id="648168303">
      <w:bodyDiv w:val="1"/>
      <w:marLeft w:val="0"/>
      <w:marRight w:val="0"/>
      <w:marTop w:val="0"/>
      <w:marBottom w:val="0"/>
      <w:divBdr>
        <w:top w:val="none" w:sz="0" w:space="0" w:color="auto"/>
        <w:left w:val="none" w:sz="0" w:space="0" w:color="auto"/>
        <w:bottom w:val="none" w:sz="0" w:space="0" w:color="auto"/>
        <w:right w:val="none" w:sz="0" w:space="0" w:color="auto"/>
      </w:divBdr>
    </w:div>
    <w:div w:id="679965600">
      <w:bodyDiv w:val="1"/>
      <w:marLeft w:val="0"/>
      <w:marRight w:val="0"/>
      <w:marTop w:val="0"/>
      <w:marBottom w:val="0"/>
      <w:divBdr>
        <w:top w:val="none" w:sz="0" w:space="0" w:color="auto"/>
        <w:left w:val="none" w:sz="0" w:space="0" w:color="auto"/>
        <w:bottom w:val="none" w:sz="0" w:space="0" w:color="auto"/>
        <w:right w:val="none" w:sz="0" w:space="0" w:color="auto"/>
      </w:divBdr>
    </w:div>
    <w:div w:id="748817900">
      <w:bodyDiv w:val="1"/>
      <w:marLeft w:val="0"/>
      <w:marRight w:val="0"/>
      <w:marTop w:val="0"/>
      <w:marBottom w:val="0"/>
      <w:divBdr>
        <w:top w:val="none" w:sz="0" w:space="0" w:color="auto"/>
        <w:left w:val="none" w:sz="0" w:space="0" w:color="auto"/>
        <w:bottom w:val="none" w:sz="0" w:space="0" w:color="auto"/>
        <w:right w:val="none" w:sz="0" w:space="0" w:color="auto"/>
      </w:divBdr>
    </w:div>
    <w:div w:id="831724511">
      <w:bodyDiv w:val="1"/>
      <w:marLeft w:val="0"/>
      <w:marRight w:val="0"/>
      <w:marTop w:val="0"/>
      <w:marBottom w:val="0"/>
      <w:divBdr>
        <w:top w:val="none" w:sz="0" w:space="0" w:color="auto"/>
        <w:left w:val="none" w:sz="0" w:space="0" w:color="auto"/>
        <w:bottom w:val="none" w:sz="0" w:space="0" w:color="auto"/>
        <w:right w:val="none" w:sz="0" w:space="0" w:color="auto"/>
      </w:divBdr>
    </w:div>
    <w:div w:id="853494261">
      <w:bodyDiv w:val="1"/>
      <w:marLeft w:val="0"/>
      <w:marRight w:val="0"/>
      <w:marTop w:val="0"/>
      <w:marBottom w:val="0"/>
      <w:divBdr>
        <w:top w:val="none" w:sz="0" w:space="0" w:color="auto"/>
        <w:left w:val="none" w:sz="0" w:space="0" w:color="auto"/>
        <w:bottom w:val="none" w:sz="0" w:space="0" w:color="auto"/>
        <w:right w:val="none" w:sz="0" w:space="0" w:color="auto"/>
      </w:divBdr>
    </w:div>
    <w:div w:id="904947361">
      <w:bodyDiv w:val="1"/>
      <w:marLeft w:val="0"/>
      <w:marRight w:val="0"/>
      <w:marTop w:val="0"/>
      <w:marBottom w:val="0"/>
      <w:divBdr>
        <w:top w:val="none" w:sz="0" w:space="0" w:color="auto"/>
        <w:left w:val="none" w:sz="0" w:space="0" w:color="auto"/>
        <w:bottom w:val="none" w:sz="0" w:space="0" w:color="auto"/>
        <w:right w:val="none" w:sz="0" w:space="0" w:color="auto"/>
      </w:divBdr>
    </w:div>
    <w:div w:id="933980460">
      <w:bodyDiv w:val="1"/>
      <w:marLeft w:val="0"/>
      <w:marRight w:val="0"/>
      <w:marTop w:val="0"/>
      <w:marBottom w:val="0"/>
      <w:divBdr>
        <w:top w:val="none" w:sz="0" w:space="0" w:color="auto"/>
        <w:left w:val="none" w:sz="0" w:space="0" w:color="auto"/>
        <w:bottom w:val="none" w:sz="0" w:space="0" w:color="auto"/>
        <w:right w:val="none" w:sz="0" w:space="0" w:color="auto"/>
      </w:divBdr>
    </w:div>
    <w:div w:id="968629179">
      <w:bodyDiv w:val="1"/>
      <w:marLeft w:val="0"/>
      <w:marRight w:val="0"/>
      <w:marTop w:val="0"/>
      <w:marBottom w:val="0"/>
      <w:divBdr>
        <w:top w:val="none" w:sz="0" w:space="0" w:color="auto"/>
        <w:left w:val="none" w:sz="0" w:space="0" w:color="auto"/>
        <w:bottom w:val="none" w:sz="0" w:space="0" w:color="auto"/>
        <w:right w:val="none" w:sz="0" w:space="0" w:color="auto"/>
      </w:divBdr>
    </w:div>
    <w:div w:id="1021662719">
      <w:bodyDiv w:val="1"/>
      <w:marLeft w:val="0"/>
      <w:marRight w:val="0"/>
      <w:marTop w:val="0"/>
      <w:marBottom w:val="0"/>
      <w:divBdr>
        <w:top w:val="none" w:sz="0" w:space="0" w:color="auto"/>
        <w:left w:val="none" w:sz="0" w:space="0" w:color="auto"/>
        <w:bottom w:val="none" w:sz="0" w:space="0" w:color="auto"/>
        <w:right w:val="none" w:sz="0" w:space="0" w:color="auto"/>
      </w:divBdr>
    </w:div>
    <w:div w:id="1046484943">
      <w:bodyDiv w:val="1"/>
      <w:marLeft w:val="0"/>
      <w:marRight w:val="0"/>
      <w:marTop w:val="0"/>
      <w:marBottom w:val="0"/>
      <w:divBdr>
        <w:top w:val="none" w:sz="0" w:space="0" w:color="auto"/>
        <w:left w:val="none" w:sz="0" w:space="0" w:color="auto"/>
        <w:bottom w:val="none" w:sz="0" w:space="0" w:color="auto"/>
        <w:right w:val="none" w:sz="0" w:space="0" w:color="auto"/>
      </w:divBdr>
    </w:div>
    <w:div w:id="1048071198">
      <w:bodyDiv w:val="1"/>
      <w:marLeft w:val="0"/>
      <w:marRight w:val="0"/>
      <w:marTop w:val="0"/>
      <w:marBottom w:val="0"/>
      <w:divBdr>
        <w:top w:val="none" w:sz="0" w:space="0" w:color="auto"/>
        <w:left w:val="none" w:sz="0" w:space="0" w:color="auto"/>
        <w:bottom w:val="none" w:sz="0" w:space="0" w:color="auto"/>
        <w:right w:val="none" w:sz="0" w:space="0" w:color="auto"/>
      </w:divBdr>
    </w:div>
    <w:div w:id="1102065803">
      <w:bodyDiv w:val="1"/>
      <w:marLeft w:val="0"/>
      <w:marRight w:val="0"/>
      <w:marTop w:val="0"/>
      <w:marBottom w:val="0"/>
      <w:divBdr>
        <w:top w:val="none" w:sz="0" w:space="0" w:color="auto"/>
        <w:left w:val="none" w:sz="0" w:space="0" w:color="auto"/>
        <w:bottom w:val="none" w:sz="0" w:space="0" w:color="auto"/>
        <w:right w:val="none" w:sz="0" w:space="0" w:color="auto"/>
      </w:divBdr>
    </w:div>
    <w:div w:id="1108819979">
      <w:bodyDiv w:val="1"/>
      <w:marLeft w:val="0"/>
      <w:marRight w:val="0"/>
      <w:marTop w:val="0"/>
      <w:marBottom w:val="0"/>
      <w:divBdr>
        <w:top w:val="none" w:sz="0" w:space="0" w:color="auto"/>
        <w:left w:val="none" w:sz="0" w:space="0" w:color="auto"/>
        <w:bottom w:val="none" w:sz="0" w:space="0" w:color="auto"/>
        <w:right w:val="none" w:sz="0" w:space="0" w:color="auto"/>
      </w:divBdr>
    </w:div>
    <w:div w:id="1109592695">
      <w:bodyDiv w:val="1"/>
      <w:marLeft w:val="0"/>
      <w:marRight w:val="0"/>
      <w:marTop w:val="0"/>
      <w:marBottom w:val="0"/>
      <w:divBdr>
        <w:top w:val="none" w:sz="0" w:space="0" w:color="auto"/>
        <w:left w:val="none" w:sz="0" w:space="0" w:color="auto"/>
        <w:bottom w:val="none" w:sz="0" w:space="0" w:color="auto"/>
        <w:right w:val="none" w:sz="0" w:space="0" w:color="auto"/>
      </w:divBdr>
    </w:div>
    <w:div w:id="1116287746">
      <w:bodyDiv w:val="1"/>
      <w:marLeft w:val="0"/>
      <w:marRight w:val="0"/>
      <w:marTop w:val="0"/>
      <w:marBottom w:val="0"/>
      <w:divBdr>
        <w:top w:val="none" w:sz="0" w:space="0" w:color="auto"/>
        <w:left w:val="none" w:sz="0" w:space="0" w:color="auto"/>
        <w:bottom w:val="none" w:sz="0" w:space="0" w:color="auto"/>
        <w:right w:val="none" w:sz="0" w:space="0" w:color="auto"/>
      </w:divBdr>
    </w:div>
    <w:div w:id="1117414185">
      <w:bodyDiv w:val="1"/>
      <w:marLeft w:val="0"/>
      <w:marRight w:val="0"/>
      <w:marTop w:val="0"/>
      <w:marBottom w:val="0"/>
      <w:divBdr>
        <w:top w:val="none" w:sz="0" w:space="0" w:color="auto"/>
        <w:left w:val="none" w:sz="0" w:space="0" w:color="auto"/>
        <w:bottom w:val="none" w:sz="0" w:space="0" w:color="auto"/>
        <w:right w:val="none" w:sz="0" w:space="0" w:color="auto"/>
      </w:divBdr>
    </w:div>
    <w:div w:id="1120143646">
      <w:bodyDiv w:val="1"/>
      <w:marLeft w:val="0"/>
      <w:marRight w:val="0"/>
      <w:marTop w:val="0"/>
      <w:marBottom w:val="0"/>
      <w:divBdr>
        <w:top w:val="none" w:sz="0" w:space="0" w:color="auto"/>
        <w:left w:val="none" w:sz="0" w:space="0" w:color="auto"/>
        <w:bottom w:val="none" w:sz="0" w:space="0" w:color="auto"/>
        <w:right w:val="none" w:sz="0" w:space="0" w:color="auto"/>
      </w:divBdr>
    </w:div>
    <w:div w:id="1141119506">
      <w:bodyDiv w:val="1"/>
      <w:marLeft w:val="0"/>
      <w:marRight w:val="0"/>
      <w:marTop w:val="0"/>
      <w:marBottom w:val="0"/>
      <w:divBdr>
        <w:top w:val="none" w:sz="0" w:space="0" w:color="auto"/>
        <w:left w:val="none" w:sz="0" w:space="0" w:color="auto"/>
        <w:bottom w:val="none" w:sz="0" w:space="0" w:color="auto"/>
        <w:right w:val="none" w:sz="0" w:space="0" w:color="auto"/>
      </w:divBdr>
    </w:div>
    <w:div w:id="1149059507">
      <w:bodyDiv w:val="1"/>
      <w:marLeft w:val="0"/>
      <w:marRight w:val="0"/>
      <w:marTop w:val="0"/>
      <w:marBottom w:val="0"/>
      <w:divBdr>
        <w:top w:val="none" w:sz="0" w:space="0" w:color="auto"/>
        <w:left w:val="none" w:sz="0" w:space="0" w:color="auto"/>
        <w:bottom w:val="none" w:sz="0" w:space="0" w:color="auto"/>
        <w:right w:val="none" w:sz="0" w:space="0" w:color="auto"/>
      </w:divBdr>
    </w:div>
    <w:div w:id="1209730677">
      <w:bodyDiv w:val="1"/>
      <w:marLeft w:val="0"/>
      <w:marRight w:val="0"/>
      <w:marTop w:val="0"/>
      <w:marBottom w:val="0"/>
      <w:divBdr>
        <w:top w:val="none" w:sz="0" w:space="0" w:color="auto"/>
        <w:left w:val="none" w:sz="0" w:space="0" w:color="auto"/>
        <w:bottom w:val="none" w:sz="0" w:space="0" w:color="auto"/>
        <w:right w:val="none" w:sz="0" w:space="0" w:color="auto"/>
      </w:divBdr>
    </w:div>
    <w:div w:id="1225990434">
      <w:bodyDiv w:val="1"/>
      <w:marLeft w:val="0"/>
      <w:marRight w:val="0"/>
      <w:marTop w:val="0"/>
      <w:marBottom w:val="0"/>
      <w:divBdr>
        <w:top w:val="none" w:sz="0" w:space="0" w:color="auto"/>
        <w:left w:val="none" w:sz="0" w:space="0" w:color="auto"/>
        <w:bottom w:val="none" w:sz="0" w:space="0" w:color="auto"/>
        <w:right w:val="none" w:sz="0" w:space="0" w:color="auto"/>
      </w:divBdr>
    </w:div>
    <w:div w:id="1229421638">
      <w:bodyDiv w:val="1"/>
      <w:marLeft w:val="0"/>
      <w:marRight w:val="0"/>
      <w:marTop w:val="0"/>
      <w:marBottom w:val="0"/>
      <w:divBdr>
        <w:top w:val="none" w:sz="0" w:space="0" w:color="auto"/>
        <w:left w:val="none" w:sz="0" w:space="0" w:color="auto"/>
        <w:bottom w:val="none" w:sz="0" w:space="0" w:color="auto"/>
        <w:right w:val="none" w:sz="0" w:space="0" w:color="auto"/>
      </w:divBdr>
    </w:div>
    <w:div w:id="1245921325">
      <w:bodyDiv w:val="1"/>
      <w:marLeft w:val="0"/>
      <w:marRight w:val="0"/>
      <w:marTop w:val="0"/>
      <w:marBottom w:val="0"/>
      <w:divBdr>
        <w:top w:val="none" w:sz="0" w:space="0" w:color="auto"/>
        <w:left w:val="none" w:sz="0" w:space="0" w:color="auto"/>
        <w:bottom w:val="none" w:sz="0" w:space="0" w:color="auto"/>
        <w:right w:val="none" w:sz="0" w:space="0" w:color="auto"/>
      </w:divBdr>
    </w:div>
    <w:div w:id="1286692314">
      <w:bodyDiv w:val="1"/>
      <w:marLeft w:val="0"/>
      <w:marRight w:val="0"/>
      <w:marTop w:val="0"/>
      <w:marBottom w:val="0"/>
      <w:divBdr>
        <w:top w:val="none" w:sz="0" w:space="0" w:color="auto"/>
        <w:left w:val="none" w:sz="0" w:space="0" w:color="auto"/>
        <w:bottom w:val="none" w:sz="0" w:space="0" w:color="auto"/>
        <w:right w:val="none" w:sz="0" w:space="0" w:color="auto"/>
      </w:divBdr>
    </w:div>
    <w:div w:id="1327518998">
      <w:bodyDiv w:val="1"/>
      <w:marLeft w:val="0"/>
      <w:marRight w:val="0"/>
      <w:marTop w:val="0"/>
      <w:marBottom w:val="0"/>
      <w:divBdr>
        <w:top w:val="none" w:sz="0" w:space="0" w:color="auto"/>
        <w:left w:val="none" w:sz="0" w:space="0" w:color="auto"/>
        <w:bottom w:val="none" w:sz="0" w:space="0" w:color="auto"/>
        <w:right w:val="none" w:sz="0" w:space="0" w:color="auto"/>
      </w:divBdr>
    </w:div>
    <w:div w:id="1357852099">
      <w:bodyDiv w:val="1"/>
      <w:marLeft w:val="0"/>
      <w:marRight w:val="0"/>
      <w:marTop w:val="0"/>
      <w:marBottom w:val="0"/>
      <w:divBdr>
        <w:top w:val="none" w:sz="0" w:space="0" w:color="auto"/>
        <w:left w:val="none" w:sz="0" w:space="0" w:color="auto"/>
        <w:bottom w:val="none" w:sz="0" w:space="0" w:color="auto"/>
        <w:right w:val="none" w:sz="0" w:space="0" w:color="auto"/>
      </w:divBdr>
    </w:div>
    <w:div w:id="1402826349">
      <w:bodyDiv w:val="1"/>
      <w:marLeft w:val="0"/>
      <w:marRight w:val="0"/>
      <w:marTop w:val="0"/>
      <w:marBottom w:val="0"/>
      <w:divBdr>
        <w:top w:val="none" w:sz="0" w:space="0" w:color="auto"/>
        <w:left w:val="none" w:sz="0" w:space="0" w:color="auto"/>
        <w:bottom w:val="none" w:sz="0" w:space="0" w:color="auto"/>
        <w:right w:val="none" w:sz="0" w:space="0" w:color="auto"/>
      </w:divBdr>
    </w:div>
    <w:div w:id="1421180229">
      <w:bodyDiv w:val="1"/>
      <w:marLeft w:val="0"/>
      <w:marRight w:val="0"/>
      <w:marTop w:val="0"/>
      <w:marBottom w:val="0"/>
      <w:divBdr>
        <w:top w:val="none" w:sz="0" w:space="0" w:color="auto"/>
        <w:left w:val="none" w:sz="0" w:space="0" w:color="auto"/>
        <w:bottom w:val="none" w:sz="0" w:space="0" w:color="auto"/>
        <w:right w:val="none" w:sz="0" w:space="0" w:color="auto"/>
      </w:divBdr>
    </w:div>
    <w:div w:id="1481464289">
      <w:bodyDiv w:val="1"/>
      <w:marLeft w:val="0"/>
      <w:marRight w:val="0"/>
      <w:marTop w:val="0"/>
      <w:marBottom w:val="0"/>
      <w:divBdr>
        <w:top w:val="none" w:sz="0" w:space="0" w:color="auto"/>
        <w:left w:val="none" w:sz="0" w:space="0" w:color="auto"/>
        <w:bottom w:val="none" w:sz="0" w:space="0" w:color="auto"/>
        <w:right w:val="none" w:sz="0" w:space="0" w:color="auto"/>
      </w:divBdr>
    </w:div>
    <w:div w:id="1624144065">
      <w:bodyDiv w:val="1"/>
      <w:marLeft w:val="0"/>
      <w:marRight w:val="0"/>
      <w:marTop w:val="0"/>
      <w:marBottom w:val="0"/>
      <w:divBdr>
        <w:top w:val="none" w:sz="0" w:space="0" w:color="auto"/>
        <w:left w:val="none" w:sz="0" w:space="0" w:color="auto"/>
        <w:bottom w:val="none" w:sz="0" w:space="0" w:color="auto"/>
        <w:right w:val="none" w:sz="0" w:space="0" w:color="auto"/>
      </w:divBdr>
    </w:div>
    <w:div w:id="1628967635">
      <w:bodyDiv w:val="1"/>
      <w:marLeft w:val="0"/>
      <w:marRight w:val="0"/>
      <w:marTop w:val="0"/>
      <w:marBottom w:val="0"/>
      <w:divBdr>
        <w:top w:val="none" w:sz="0" w:space="0" w:color="auto"/>
        <w:left w:val="none" w:sz="0" w:space="0" w:color="auto"/>
        <w:bottom w:val="none" w:sz="0" w:space="0" w:color="auto"/>
        <w:right w:val="none" w:sz="0" w:space="0" w:color="auto"/>
      </w:divBdr>
    </w:div>
    <w:div w:id="1664694985">
      <w:bodyDiv w:val="1"/>
      <w:marLeft w:val="0"/>
      <w:marRight w:val="0"/>
      <w:marTop w:val="0"/>
      <w:marBottom w:val="0"/>
      <w:divBdr>
        <w:top w:val="none" w:sz="0" w:space="0" w:color="auto"/>
        <w:left w:val="none" w:sz="0" w:space="0" w:color="auto"/>
        <w:bottom w:val="none" w:sz="0" w:space="0" w:color="auto"/>
        <w:right w:val="none" w:sz="0" w:space="0" w:color="auto"/>
      </w:divBdr>
    </w:div>
    <w:div w:id="1677884477">
      <w:bodyDiv w:val="1"/>
      <w:marLeft w:val="0"/>
      <w:marRight w:val="0"/>
      <w:marTop w:val="0"/>
      <w:marBottom w:val="0"/>
      <w:divBdr>
        <w:top w:val="none" w:sz="0" w:space="0" w:color="auto"/>
        <w:left w:val="none" w:sz="0" w:space="0" w:color="auto"/>
        <w:bottom w:val="none" w:sz="0" w:space="0" w:color="auto"/>
        <w:right w:val="none" w:sz="0" w:space="0" w:color="auto"/>
      </w:divBdr>
    </w:div>
    <w:div w:id="1711344035">
      <w:bodyDiv w:val="1"/>
      <w:marLeft w:val="0"/>
      <w:marRight w:val="0"/>
      <w:marTop w:val="0"/>
      <w:marBottom w:val="0"/>
      <w:divBdr>
        <w:top w:val="none" w:sz="0" w:space="0" w:color="auto"/>
        <w:left w:val="none" w:sz="0" w:space="0" w:color="auto"/>
        <w:bottom w:val="none" w:sz="0" w:space="0" w:color="auto"/>
        <w:right w:val="none" w:sz="0" w:space="0" w:color="auto"/>
      </w:divBdr>
    </w:div>
    <w:div w:id="1726374211">
      <w:bodyDiv w:val="1"/>
      <w:marLeft w:val="0"/>
      <w:marRight w:val="0"/>
      <w:marTop w:val="0"/>
      <w:marBottom w:val="0"/>
      <w:divBdr>
        <w:top w:val="none" w:sz="0" w:space="0" w:color="auto"/>
        <w:left w:val="none" w:sz="0" w:space="0" w:color="auto"/>
        <w:bottom w:val="none" w:sz="0" w:space="0" w:color="auto"/>
        <w:right w:val="none" w:sz="0" w:space="0" w:color="auto"/>
      </w:divBdr>
    </w:div>
    <w:div w:id="1736464228">
      <w:bodyDiv w:val="1"/>
      <w:marLeft w:val="0"/>
      <w:marRight w:val="0"/>
      <w:marTop w:val="0"/>
      <w:marBottom w:val="0"/>
      <w:divBdr>
        <w:top w:val="none" w:sz="0" w:space="0" w:color="auto"/>
        <w:left w:val="none" w:sz="0" w:space="0" w:color="auto"/>
        <w:bottom w:val="none" w:sz="0" w:space="0" w:color="auto"/>
        <w:right w:val="none" w:sz="0" w:space="0" w:color="auto"/>
      </w:divBdr>
    </w:div>
    <w:div w:id="1778408326">
      <w:bodyDiv w:val="1"/>
      <w:marLeft w:val="0"/>
      <w:marRight w:val="0"/>
      <w:marTop w:val="0"/>
      <w:marBottom w:val="0"/>
      <w:divBdr>
        <w:top w:val="none" w:sz="0" w:space="0" w:color="auto"/>
        <w:left w:val="none" w:sz="0" w:space="0" w:color="auto"/>
        <w:bottom w:val="none" w:sz="0" w:space="0" w:color="auto"/>
        <w:right w:val="none" w:sz="0" w:space="0" w:color="auto"/>
      </w:divBdr>
    </w:div>
    <w:div w:id="1789422995">
      <w:bodyDiv w:val="1"/>
      <w:marLeft w:val="0"/>
      <w:marRight w:val="0"/>
      <w:marTop w:val="0"/>
      <w:marBottom w:val="0"/>
      <w:divBdr>
        <w:top w:val="none" w:sz="0" w:space="0" w:color="auto"/>
        <w:left w:val="none" w:sz="0" w:space="0" w:color="auto"/>
        <w:bottom w:val="none" w:sz="0" w:space="0" w:color="auto"/>
        <w:right w:val="none" w:sz="0" w:space="0" w:color="auto"/>
      </w:divBdr>
    </w:div>
    <w:div w:id="1791170205">
      <w:bodyDiv w:val="1"/>
      <w:marLeft w:val="0"/>
      <w:marRight w:val="0"/>
      <w:marTop w:val="0"/>
      <w:marBottom w:val="0"/>
      <w:divBdr>
        <w:top w:val="none" w:sz="0" w:space="0" w:color="auto"/>
        <w:left w:val="none" w:sz="0" w:space="0" w:color="auto"/>
        <w:bottom w:val="none" w:sz="0" w:space="0" w:color="auto"/>
        <w:right w:val="none" w:sz="0" w:space="0" w:color="auto"/>
      </w:divBdr>
    </w:div>
    <w:div w:id="1793786719">
      <w:bodyDiv w:val="1"/>
      <w:marLeft w:val="0"/>
      <w:marRight w:val="0"/>
      <w:marTop w:val="0"/>
      <w:marBottom w:val="0"/>
      <w:divBdr>
        <w:top w:val="none" w:sz="0" w:space="0" w:color="auto"/>
        <w:left w:val="none" w:sz="0" w:space="0" w:color="auto"/>
        <w:bottom w:val="none" w:sz="0" w:space="0" w:color="auto"/>
        <w:right w:val="none" w:sz="0" w:space="0" w:color="auto"/>
      </w:divBdr>
    </w:div>
    <w:div w:id="1858502521">
      <w:bodyDiv w:val="1"/>
      <w:marLeft w:val="0"/>
      <w:marRight w:val="0"/>
      <w:marTop w:val="0"/>
      <w:marBottom w:val="0"/>
      <w:divBdr>
        <w:top w:val="none" w:sz="0" w:space="0" w:color="auto"/>
        <w:left w:val="none" w:sz="0" w:space="0" w:color="auto"/>
        <w:bottom w:val="none" w:sz="0" w:space="0" w:color="auto"/>
        <w:right w:val="none" w:sz="0" w:space="0" w:color="auto"/>
      </w:divBdr>
    </w:div>
    <w:div w:id="199514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Sil17</b:Tag>
    <b:SourceType>ArticleInAPeriodical</b:SourceType>
    <b:Guid>{973651AC-8B7E-4D93-A069-3D27CAAD7AE5}</b:Guid>
    <b:Title>Excelência dirigida ao cidadão: uma abordagem do Programa da Qualidade no Serviço</b:Title>
    <b:Year>2017</b:Year>
    <b:Month>07</b:Month>
    <b:Author>
      <b:Author>
        <b:NameList>
          <b:Person>
            <b:Last>Silva</b:Last>
            <b:First>Priscila</b:First>
            <b:Middle>Marinho da</b:Middle>
          </b:Person>
          <b:Person>
            <b:Last>Silva</b:Last>
            <b:First>Ricardo</b:First>
            <b:Middle>Francisco da</b:Middle>
          </b:Person>
        </b:NameList>
      </b:Author>
    </b:Author>
    <b:PeriodicalTitle>Congresso Virtual Brasileiro de Administração </b:PeriodicalTitle>
    <b:Pages>06</b:Pages>
    <b:RefOrder>1</b:RefOrder>
  </b:Source>
  <b:Source>
    <b:Tag>Bra14</b:Tag>
    <b:SourceType>Report</b:SourceType>
    <b:Guid>{6C112165-1EA1-49CD-9EAA-81C63548CB9C}</b:Guid>
    <b:Title>Programa G E S P Ú B L I C A , M o d e lo d e E x c e l ê n c i a e m</b:Title>
    <b:Year>2014</b:Year>
    <b:Author>
      <b:Author>
        <b:Corporate>Brasil. Ministério do Planejamento, Orçamento e Gestão.</b:Corporate>
      </b:Author>
    </b:Author>
    <b:Publisher> SEGEP</b:Publisher>
    <b:City>Brasília</b:City>
    <b:RefOrder>2</b:RefOrder>
  </b:Source>
  <b:Source>
    <b:Tag>Bat99</b:Tag>
    <b:SourceType>DocumentFromInternetSite</b:SourceType>
    <b:Guid>{5734312E-CC67-43DE-B5AC-E45E900FD9E3}</b:Guid>
    <b:Title>A Avaliação daGestão Pública no Contexto da Reforma do Aparelho do Estado</b:Title>
    <b:Year>1999</b:Year>
    <b:Author>
      <b:Author>
        <b:NameList>
          <b:Person>
            <b:Last>Batista</b:Last>
            <b:First>Fábio</b:First>
            <b:Middle>Ferreira</b:Middle>
          </b:Person>
        </b:NameList>
      </b:Author>
    </b:Author>
    <b:InternetSiteTitle>http://ipea.gov.br/</b:InternetSiteTitle>
    <b:Month>Maio</b:Month>
    <b:URL>http://ipea.gov.br/agencia/images/stories/PDFs/TDs/td_0644.pdf</b:URL>
    <b:RefOrder>3</b:RefOrder>
  </b:Source>
  <b:Source>
    <b:Tag>Pro06</b:Tag>
    <b:SourceType>DocumentFromInternetSite</b:SourceType>
    <b:Guid>{9D8EB09A-69EC-41DD-8C72-1E75B5283BF9}</b:Guid>
    <b:Author>
      <b:Author>
        <b:Corporate>Programa Nacional de Gest„o P˙blica e DesburocratizaÁ„o</b:Corporate>
      </b:Author>
    </b:Author>
    <b:Title>http://ww2.prefeitura.sp.gov.br/</b:Title>
    <b:InternetSiteTitle>http://ww2.prefeitura.sp.gov.br/</b:InternetSiteTitle>
    <b:Year>2006</b:Year>
    <b:Month>Abril</b:Month>
    <b:URL>http://ww2.prefeitura.sp.gov.br/arquivos/secretarias/subprefeituras/pqgp/materiais_consulta/0001/instrumento-250-pontos.pdf</b:URL>
    <b:RefOrder>4</b:RefOrder>
  </b:Source>
</b:Sources>
</file>

<file path=customXml/itemProps1.xml><?xml version="1.0" encoding="utf-8"?>
<ds:datastoreItem xmlns:ds="http://schemas.openxmlformats.org/officeDocument/2006/customXml" ds:itemID="{E64A2B67-232E-44CB-96DD-DD0714B6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Attitude 3</dc:creator>
  <cp:lastModifiedBy>Attitude 3</cp:lastModifiedBy>
  <cp:revision>2</cp:revision>
  <dcterms:created xsi:type="dcterms:W3CDTF">2017-07-20T13:13:00Z</dcterms:created>
  <dcterms:modified xsi:type="dcterms:W3CDTF">2017-07-20T13:13:00Z</dcterms:modified>
</cp:coreProperties>
</file>