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2E4" w:rsidRPr="001632E4" w:rsidRDefault="001632E4" w:rsidP="00824730">
      <w:pPr>
        <w:spacing w:line="240" w:lineRule="auto"/>
        <w:jc w:val="center"/>
        <w:rPr>
          <w:b/>
          <w:highlight w:val="green"/>
        </w:rPr>
      </w:pPr>
    </w:p>
    <w:p w:rsidR="001632E4" w:rsidRPr="00E04EBE" w:rsidRDefault="1C3FEADF" w:rsidP="1C3FEADF">
      <w:pPr>
        <w:spacing w:line="240" w:lineRule="auto"/>
        <w:jc w:val="center"/>
        <w:rPr>
          <w:b/>
          <w:bCs/>
        </w:rPr>
      </w:pPr>
      <w:r w:rsidRPr="00E04EBE">
        <w:rPr>
          <w:b/>
          <w:bCs/>
        </w:rPr>
        <w:t xml:space="preserve">A Comparação de Locutor no </w:t>
      </w:r>
      <w:r w:rsidR="001632E4" w:rsidRPr="00E04EBE">
        <w:br/>
      </w:r>
      <w:r w:rsidRPr="00E04EBE">
        <w:rPr>
          <w:b/>
          <w:bCs/>
        </w:rPr>
        <w:t xml:space="preserve">âmbito do Ministério Público de SP: desafios e perspectivas </w:t>
      </w:r>
    </w:p>
    <w:p w:rsidR="1C3FEADF" w:rsidRPr="00E04EBE" w:rsidRDefault="1C3FEADF" w:rsidP="1C3FEADF">
      <w:pPr>
        <w:spacing w:line="240" w:lineRule="auto"/>
        <w:jc w:val="center"/>
        <w:rPr>
          <w:b/>
          <w:bCs/>
        </w:rPr>
      </w:pPr>
    </w:p>
    <w:p w:rsidR="1C3FEADF" w:rsidRDefault="1C3FEADF" w:rsidP="1C3FEADF">
      <w:pPr>
        <w:spacing w:line="240" w:lineRule="auto"/>
        <w:jc w:val="center"/>
      </w:pPr>
      <w:bookmarkStart w:id="0" w:name="_GoBack"/>
      <w:bookmarkEnd w:id="0"/>
    </w:p>
    <w:p w:rsidR="002A5A17" w:rsidRPr="00E04EBE" w:rsidRDefault="1C3FEADF" w:rsidP="1C3FEADF">
      <w:pPr>
        <w:pStyle w:val="Corpodetexto"/>
        <w:spacing w:line="240" w:lineRule="auto"/>
        <w:ind w:firstLine="1134"/>
        <w:rPr>
          <w:rFonts w:ascii="Times New Roman" w:hAnsi="Times New Roman"/>
          <w:sz w:val="22"/>
          <w:szCs w:val="22"/>
        </w:rPr>
      </w:pPr>
      <w:r w:rsidRPr="00E04EBE">
        <w:rPr>
          <w:rFonts w:ascii="Times New Roman" w:hAnsi="Times New Roman"/>
          <w:sz w:val="22"/>
          <w:szCs w:val="22"/>
        </w:rPr>
        <w:t xml:space="preserve">O Ministério Público do Estado de São Paulo (MP/SP) conta atualmente com </w:t>
      </w:r>
      <w:r w:rsidR="00E04EBE" w:rsidRPr="00E04EBE">
        <w:rPr>
          <w:rFonts w:ascii="Times New Roman" w:hAnsi="Times New Roman"/>
          <w:sz w:val="22"/>
          <w:szCs w:val="22"/>
        </w:rPr>
        <w:t>362 (trezentas e sessenta e duas)</w:t>
      </w:r>
      <w:r w:rsidRPr="00E04EBE">
        <w:rPr>
          <w:rFonts w:ascii="Times New Roman" w:hAnsi="Times New Roman"/>
          <w:sz w:val="22"/>
          <w:szCs w:val="22"/>
        </w:rPr>
        <w:t xml:space="preserve"> Promotorias de Justiça distribuídas p</w:t>
      </w:r>
      <w:r w:rsidR="00E04EBE">
        <w:rPr>
          <w:rFonts w:ascii="Times New Roman" w:hAnsi="Times New Roman"/>
          <w:sz w:val="22"/>
          <w:szCs w:val="22"/>
        </w:rPr>
        <w:t>or todo o</w:t>
      </w:r>
      <w:r w:rsidRPr="00E04EBE">
        <w:rPr>
          <w:rFonts w:ascii="Times New Roman" w:hAnsi="Times New Roman"/>
          <w:sz w:val="22"/>
          <w:szCs w:val="22"/>
        </w:rPr>
        <w:t xml:space="preserve"> estado, além dos órgãos e grupos especiais que trabalham para atender </w:t>
      </w:r>
      <w:r w:rsidR="00E04EBE">
        <w:rPr>
          <w:rFonts w:ascii="Times New Roman" w:hAnsi="Times New Roman"/>
          <w:sz w:val="22"/>
          <w:szCs w:val="22"/>
        </w:rPr>
        <w:t>su</w:t>
      </w:r>
      <w:r w:rsidRPr="00E04EBE">
        <w:rPr>
          <w:rFonts w:ascii="Times New Roman" w:hAnsi="Times New Roman"/>
          <w:sz w:val="22"/>
          <w:szCs w:val="22"/>
        </w:rPr>
        <w:t xml:space="preserve">as demandas e especialidades. Com o crescimento da instituição, da sua atuação </w:t>
      </w:r>
      <w:r w:rsidR="00E04EBE">
        <w:rPr>
          <w:rFonts w:ascii="Times New Roman" w:hAnsi="Times New Roman"/>
          <w:sz w:val="22"/>
          <w:szCs w:val="22"/>
        </w:rPr>
        <w:t>no</w:t>
      </w:r>
      <w:r w:rsidRPr="00E04EBE">
        <w:rPr>
          <w:rFonts w:ascii="Times New Roman" w:hAnsi="Times New Roman"/>
          <w:sz w:val="22"/>
          <w:szCs w:val="22"/>
        </w:rPr>
        <w:t xml:space="preserve"> combate ao crime organizado,</w:t>
      </w:r>
      <w:r w:rsidR="00324900">
        <w:rPr>
          <w:rFonts w:ascii="Times New Roman" w:hAnsi="Times New Roman"/>
          <w:sz w:val="22"/>
          <w:szCs w:val="22"/>
        </w:rPr>
        <w:t>d</w:t>
      </w:r>
      <w:r w:rsidR="00E04EBE">
        <w:rPr>
          <w:rFonts w:ascii="Times New Roman" w:hAnsi="Times New Roman"/>
          <w:sz w:val="22"/>
          <w:szCs w:val="22"/>
        </w:rPr>
        <w:t>o</w:t>
      </w:r>
      <w:r w:rsidRPr="00E04EBE">
        <w:rPr>
          <w:rFonts w:ascii="Times New Roman" w:hAnsi="Times New Roman"/>
          <w:sz w:val="22"/>
          <w:szCs w:val="22"/>
        </w:rPr>
        <w:t xml:space="preserve"> a</w:t>
      </w:r>
      <w:r w:rsidR="00324900">
        <w:rPr>
          <w:rFonts w:ascii="Times New Roman" w:hAnsi="Times New Roman"/>
          <w:sz w:val="22"/>
          <w:szCs w:val="22"/>
        </w:rPr>
        <w:t>umento d</w:t>
      </w:r>
      <w:r w:rsidRPr="00E04EBE">
        <w:rPr>
          <w:rFonts w:ascii="Times New Roman" w:hAnsi="Times New Roman"/>
          <w:sz w:val="22"/>
          <w:szCs w:val="22"/>
        </w:rPr>
        <w:t xml:space="preserve">o número de investigações </w:t>
      </w:r>
      <w:r w:rsidR="00E04EBE">
        <w:rPr>
          <w:rFonts w:ascii="Times New Roman" w:hAnsi="Times New Roman"/>
          <w:sz w:val="22"/>
          <w:szCs w:val="22"/>
        </w:rPr>
        <w:t xml:space="preserve">na área de </w:t>
      </w:r>
      <w:r w:rsidRPr="00E04EBE">
        <w:rPr>
          <w:rFonts w:ascii="Times New Roman" w:hAnsi="Times New Roman"/>
          <w:sz w:val="22"/>
          <w:szCs w:val="22"/>
        </w:rPr>
        <w:t xml:space="preserve">direitos difusos, </w:t>
      </w:r>
      <w:r w:rsidR="00324900">
        <w:rPr>
          <w:rFonts w:ascii="Times New Roman" w:hAnsi="Times New Roman"/>
          <w:sz w:val="22"/>
          <w:szCs w:val="22"/>
        </w:rPr>
        <w:t>eleitorais e outros tornou-se necessária</w:t>
      </w:r>
      <w:r w:rsidR="00E04EBE">
        <w:rPr>
          <w:rFonts w:ascii="Times New Roman" w:hAnsi="Times New Roman"/>
          <w:sz w:val="22"/>
          <w:szCs w:val="22"/>
        </w:rPr>
        <w:t>su</w:t>
      </w:r>
      <w:r w:rsidRPr="00E04EBE">
        <w:rPr>
          <w:rFonts w:ascii="Times New Roman" w:hAnsi="Times New Roman"/>
          <w:sz w:val="22"/>
          <w:szCs w:val="22"/>
        </w:rPr>
        <w:t xml:space="preserve">a maior estruturação no que concerne a equipamentos e pessoal técnico especializado. </w:t>
      </w:r>
    </w:p>
    <w:p w:rsidR="002A5A17" w:rsidRDefault="1C3FEADF" w:rsidP="1C3FEADF">
      <w:pPr>
        <w:pStyle w:val="Corpodetexto"/>
        <w:spacing w:line="240" w:lineRule="auto"/>
        <w:ind w:firstLine="1134"/>
        <w:rPr>
          <w:rFonts w:ascii="Times New Roman" w:hAnsi="Times New Roman"/>
          <w:sz w:val="22"/>
          <w:szCs w:val="22"/>
        </w:rPr>
      </w:pPr>
      <w:r w:rsidRPr="00E04EBE">
        <w:rPr>
          <w:rFonts w:ascii="Times New Roman" w:hAnsi="Times New Roman"/>
          <w:sz w:val="22"/>
          <w:szCs w:val="22"/>
        </w:rPr>
        <w:t xml:space="preserve">Diante do cenário tecnológico atual, </w:t>
      </w:r>
      <w:r w:rsidR="00324900">
        <w:rPr>
          <w:rFonts w:ascii="Times New Roman" w:hAnsi="Times New Roman"/>
          <w:sz w:val="22"/>
          <w:szCs w:val="22"/>
        </w:rPr>
        <w:t>d</w:t>
      </w:r>
      <w:r w:rsidR="00E04EBE">
        <w:rPr>
          <w:rFonts w:ascii="Times New Roman" w:hAnsi="Times New Roman"/>
          <w:sz w:val="22"/>
          <w:szCs w:val="22"/>
        </w:rPr>
        <w:t xml:space="preserve">a facilidade em se produzir material para análise, </w:t>
      </w:r>
      <w:r w:rsidRPr="00E04EBE">
        <w:rPr>
          <w:rFonts w:ascii="Times New Roman" w:hAnsi="Times New Roman"/>
          <w:sz w:val="22"/>
          <w:szCs w:val="22"/>
        </w:rPr>
        <w:t xml:space="preserve">bem como </w:t>
      </w:r>
      <w:r w:rsidR="00324900">
        <w:rPr>
          <w:rFonts w:ascii="Times New Roman" w:hAnsi="Times New Roman"/>
          <w:sz w:val="22"/>
          <w:szCs w:val="22"/>
        </w:rPr>
        <w:t>d</w:t>
      </w:r>
      <w:r w:rsidRPr="00E04EBE">
        <w:rPr>
          <w:rFonts w:ascii="Times New Roman" w:hAnsi="Times New Roman"/>
          <w:sz w:val="22"/>
          <w:szCs w:val="22"/>
        </w:rPr>
        <w:t>a produção de provas cada vez mais distantes de documentos</w:t>
      </w:r>
      <w:r w:rsidR="00E04EBE">
        <w:rPr>
          <w:rFonts w:ascii="Times New Roman" w:hAnsi="Times New Roman"/>
          <w:sz w:val="22"/>
          <w:szCs w:val="22"/>
        </w:rPr>
        <w:t xml:space="preserve"> físicos,</w:t>
      </w:r>
      <w:r w:rsidRPr="00E04EBE">
        <w:rPr>
          <w:rFonts w:ascii="Times New Roman" w:hAnsi="Times New Roman"/>
          <w:sz w:val="22"/>
          <w:szCs w:val="22"/>
        </w:rPr>
        <w:t xml:space="preserve"> a aquisição do sistema Guardião pela instituição, tornou-se </w:t>
      </w:r>
      <w:r w:rsidR="00324900">
        <w:rPr>
          <w:rFonts w:ascii="Times New Roman" w:hAnsi="Times New Roman"/>
          <w:sz w:val="22"/>
          <w:szCs w:val="22"/>
        </w:rPr>
        <w:t>essencial</w:t>
      </w:r>
      <w:r w:rsidRPr="00E04EBE">
        <w:rPr>
          <w:rFonts w:ascii="Times New Roman" w:hAnsi="Times New Roman"/>
          <w:sz w:val="22"/>
          <w:szCs w:val="22"/>
        </w:rPr>
        <w:t xml:space="preserve"> juntamente com a criação de setores espec</w:t>
      </w:r>
      <w:r w:rsidR="00324900">
        <w:rPr>
          <w:rFonts w:ascii="Times New Roman" w:hAnsi="Times New Roman"/>
          <w:sz w:val="22"/>
          <w:szCs w:val="22"/>
        </w:rPr>
        <w:t>ializados</w:t>
      </w:r>
      <w:r w:rsidRPr="00E04EBE">
        <w:rPr>
          <w:rFonts w:ascii="Times New Roman" w:hAnsi="Times New Roman"/>
          <w:sz w:val="22"/>
          <w:szCs w:val="22"/>
        </w:rPr>
        <w:t xml:space="preserve"> para análise desse material produzido. O </w:t>
      </w:r>
      <w:r w:rsidR="00FF0318">
        <w:rPr>
          <w:rFonts w:ascii="Times New Roman" w:hAnsi="Times New Roman"/>
          <w:sz w:val="22"/>
          <w:szCs w:val="22"/>
        </w:rPr>
        <w:t>Centro de Apoio à E</w:t>
      </w:r>
      <w:r w:rsidRPr="000F053A">
        <w:rPr>
          <w:rFonts w:ascii="Times New Roman" w:hAnsi="Times New Roman"/>
          <w:sz w:val="22"/>
          <w:szCs w:val="22"/>
        </w:rPr>
        <w:t>xecução (CAEx)</w:t>
      </w:r>
      <w:r w:rsidR="000F053A" w:rsidRPr="000F053A">
        <w:rPr>
          <w:rFonts w:ascii="Times New Roman" w:hAnsi="Times New Roman"/>
          <w:sz w:val="22"/>
          <w:szCs w:val="22"/>
        </w:rPr>
        <w:t xml:space="preserve">, </w:t>
      </w:r>
      <w:r w:rsidR="001F66AF">
        <w:rPr>
          <w:rStyle w:val="inplacedisplayid2920140siteid0"/>
          <w:rFonts w:ascii="Times New Roman" w:hAnsi="Times New Roman"/>
          <w:sz w:val="22"/>
          <w:szCs w:val="22"/>
        </w:rPr>
        <w:t xml:space="preserve">regulamentado </w:t>
      </w:r>
      <w:r w:rsidR="000F053A" w:rsidRPr="000F053A">
        <w:rPr>
          <w:rStyle w:val="inplacedisplayid2920140siteid0"/>
          <w:rFonts w:ascii="Times New Roman" w:hAnsi="Times New Roman"/>
          <w:sz w:val="22"/>
          <w:szCs w:val="22"/>
        </w:rPr>
        <w:t>a partir do Ato 532/08, oferece suporte técnico-operacional e serviços de informação/inteligência às Promotorias e Procuradorias de Justiça do Estado de São Paulo, visando a melhoria de “performance” do Ministério Público no cumprimento da missão constitucional.</w:t>
      </w:r>
      <w:r w:rsidR="000F053A" w:rsidRPr="000F053A">
        <w:rPr>
          <w:rFonts w:ascii="Times New Roman" w:hAnsi="Times New Roman"/>
          <w:sz w:val="22"/>
          <w:szCs w:val="22"/>
        </w:rPr>
        <w:t xml:space="preserve">Em sendo assim, </w:t>
      </w:r>
      <w:r w:rsidRPr="000F053A">
        <w:rPr>
          <w:rFonts w:ascii="Times New Roman" w:hAnsi="Times New Roman"/>
          <w:sz w:val="22"/>
          <w:szCs w:val="22"/>
        </w:rPr>
        <w:t>tornou-se um dos setores do Ministério Público com maior demanda em todas as áreas, incluindo a que cuida da análi</w:t>
      </w:r>
      <w:r w:rsidR="00324900" w:rsidRPr="000F053A">
        <w:rPr>
          <w:rFonts w:ascii="Times New Roman" w:hAnsi="Times New Roman"/>
          <w:sz w:val="22"/>
          <w:szCs w:val="22"/>
        </w:rPr>
        <w:t>se de material de áudio e vídeo resultante de investigações.</w:t>
      </w:r>
    </w:p>
    <w:p w:rsidR="009B7873" w:rsidRDefault="1C3FEADF" w:rsidP="1C3FEADF">
      <w:pPr>
        <w:pStyle w:val="Corpodetexto"/>
        <w:spacing w:line="240" w:lineRule="auto"/>
        <w:ind w:firstLine="1134"/>
        <w:rPr>
          <w:rFonts w:ascii="Times New Roman" w:hAnsi="Times New Roman"/>
          <w:sz w:val="22"/>
          <w:szCs w:val="22"/>
        </w:rPr>
      </w:pPr>
      <w:r w:rsidRPr="00F35221">
        <w:rPr>
          <w:rFonts w:ascii="Times New Roman" w:hAnsi="Times New Roman"/>
          <w:sz w:val="22"/>
          <w:szCs w:val="22"/>
        </w:rPr>
        <w:t xml:space="preserve">Desta forma, em 2011 foi implementado um setor especializado para referidas </w:t>
      </w:r>
      <w:r w:rsidR="00E04EBE" w:rsidRPr="00F35221">
        <w:rPr>
          <w:rFonts w:ascii="Times New Roman" w:hAnsi="Times New Roman"/>
          <w:sz w:val="22"/>
          <w:szCs w:val="22"/>
        </w:rPr>
        <w:t>análises</w:t>
      </w:r>
      <w:r w:rsidRPr="00F35221">
        <w:rPr>
          <w:rFonts w:ascii="Times New Roman" w:hAnsi="Times New Roman"/>
          <w:sz w:val="22"/>
          <w:szCs w:val="22"/>
        </w:rPr>
        <w:t xml:space="preserve"> com o objetivo de promove</w:t>
      </w:r>
      <w:r w:rsidR="00324900">
        <w:rPr>
          <w:rFonts w:ascii="Times New Roman" w:hAnsi="Times New Roman"/>
          <w:sz w:val="22"/>
          <w:szCs w:val="22"/>
        </w:rPr>
        <w:t>r serviços de perícia</w:t>
      </w:r>
      <w:r w:rsidRPr="00F35221">
        <w:rPr>
          <w:rFonts w:ascii="Times New Roman" w:hAnsi="Times New Roman"/>
          <w:sz w:val="22"/>
          <w:szCs w:val="22"/>
        </w:rPr>
        <w:t xml:space="preserve"> relacionados à Comunicação Humana, inclusive com a análise de conteúdo para as Promotorias, Procuradorias de Justiça e Grupos de Atuação Especial da Instituição. A iniciativa emergiu com um projeto do Promotor de Justiça que atuava no Grupo de Atuação Especial </w:t>
      </w:r>
      <w:r w:rsidR="00E04EBE" w:rsidRPr="00F35221">
        <w:rPr>
          <w:rFonts w:ascii="Times New Roman" w:hAnsi="Times New Roman"/>
          <w:sz w:val="22"/>
          <w:szCs w:val="22"/>
        </w:rPr>
        <w:t xml:space="preserve">de Combate </w:t>
      </w:r>
      <w:r w:rsidRPr="00F35221">
        <w:rPr>
          <w:rFonts w:ascii="Times New Roman" w:hAnsi="Times New Roman"/>
          <w:sz w:val="22"/>
          <w:szCs w:val="22"/>
        </w:rPr>
        <w:t>ao Crime Organizado – GAECO/Ribeirão Preto, apontando a necessidade do serviço que foi confirmada por um dos Procuradores de Justiça, então coordenador do CAEx, viabilizando-o. Sob a supervisão de uma das promotoras de justiça, assessora da coordenação, elaborou-se então um cronograma de atuação e execução e, em outubro do referido ano deu-se o início da formação do Laboratório de Fonoaudiologia Forense, hoje responsável pelas pericias de Áudio e Vídeo e Grafotecnia do MP, junto ao Laboratório de Informática.</w:t>
      </w:r>
    </w:p>
    <w:p w:rsidR="004F6518" w:rsidRDefault="1C3FEADF" w:rsidP="1C3FEADF">
      <w:pPr>
        <w:pStyle w:val="Corpodetexto"/>
        <w:spacing w:line="240" w:lineRule="auto"/>
        <w:ind w:firstLine="1134"/>
        <w:rPr>
          <w:rFonts w:ascii="Times New Roman" w:hAnsi="Times New Roman"/>
          <w:sz w:val="22"/>
          <w:szCs w:val="22"/>
        </w:rPr>
      </w:pPr>
      <w:r w:rsidRPr="00F35221">
        <w:rPr>
          <w:rFonts w:ascii="Times New Roman" w:hAnsi="Times New Roman"/>
          <w:sz w:val="22"/>
          <w:szCs w:val="22"/>
        </w:rPr>
        <w:t xml:space="preserve">A perícia de Confronto Forense de Locutor (CL), demanda que </w:t>
      </w:r>
      <w:r w:rsidR="00324900">
        <w:rPr>
          <w:rFonts w:ascii="Times New Roman" w:hAnsi="Times New Roman"/>
          <w:sz w:val="22"/>
          <w:szCs w:val="22"/>
        </w:rPr>
        <w:t>de</w:t>
      </w:r>
      <w:r w:rsidR="00F35221" w:rsidRPr="00F35221">
        <w:rPr>
          <w:rFonts w:ascii="Times New Roman" w:hAnsi="Times New Roman"/>
          <w:sz w:val="22"/>
          <w:szCs w:val="22"/>
        </w:rPr>
        <w:t>spertou</w:t>
      </w:r>
      <w:r w:rsidRPr="00F35221">
        <w:rPr>
          <w:rFonts w:ascii="Times New Roman" w:hAnsi="Times New Roman"/>
          <w:sz w:val="22"/>
          <w:szCs w:val="22"/>
        </w:rPr>
        <w:t xml:space="preserve"> a necessidade da criação do setor, tem por objetivo a definição da autoria de falas armazena</w:t>
      </w:r>
      <w:r w:rsidR="001F66AF">
        <w:rPr>
          <w:rFonts w:ascii="Times New Roman" w:hAnsi="Times New Roman"/>
          <w:sz w:val="22"/>
          <w:szCs w:val="22"/>
        </w:rPr>
        <w:t>da</w:t>
      </w:r>
      <w:r w:rsidRPr="00F35221">
        <w:rPr>
          <w:rFonts w:ascii="Times New Roman" w:hAnsi="Times New Roman"/>
          <w:sz w:val="22"/>
          <w:szCs w:val="22"/>
        </w:rPr>
        <w:t>s em uma determinada mídia, verificando se essas, de fato, foram ou não produzidas pelo aparelho fonador de um determinado indivíduo (Gonçalves e Petry, 2015). Inicialmente, composto por uma fonoaudióloga com o apoio de seus colegas do Laboratório de Informática do setor, referidas perícias tiveram com</w:t>
      </w:r>
      <w:r w:rsidR="00324900">
        <w:rPr>
          <w:rFonts w:ascii="Times New Roman" w:hAnsi="Times New Roman"/>
          <w:sz w:val="22"/>
          <w:szCs w:val="22"/>
        </w:rPr>
        <w:t>o</w:t>
      </w:r>
      <w:r w:rsidRPr="00F35221">
        <w:rPr>
          <w:rFonts w:ascii="Times New Roman" w:hAnsi="Times New Roman"/>
          <w:sz w:val="22"/>
          <w:szCs w:val="22"/>
        </w:rPr>
        <w:t xml:space="preserve"> base documentos e protocolos já existentes na literatura. Mas, a necessidade de se buscar conhecimento na área e aparelhamento do setor fez com que a fonoaudióloga, auxiliada por outra servidora da instituição buscassem congressos e acesso aos demais profissionais da área, especificamente peritos oficiais do estado e da polícia federal para que o exame no MP/SP fosse aprimorado.</w:t>
      </w:r>
    </w:p>
    <w:p w:rsidR="003C60FA" w:rsidRPr="00463EFF" w:rsidRDefault="003C60FA" w:rsidP="003C60FA">
      <w:pPr>
        <w:pStyle w:val="Corpodetexto"/>
        <w:spacing w:line="240" w:lineRule="auto"/>
        <w:ind w:firstLine="1134"/>
        <w:rPr>
          <w:rFonts w:ascii="Times New Roman" w:eastAsia="MS Mincho" w:hAnsi="Times New Roman"/>
          <w:noProof/>
          <w:sz w:val="22"/>
          <w:szCs w:val="22"/>
        </w:rPr>
      </w:pPr>
      <w:r w:rsidRPr="00F35221">
        <w:rPr>
          <w:rFonts w:ascii="Times New Roman" w:eastAsia="MS Mincho" w:hAnsi="Times New Roman"/>
          <w:noProof/>
          <w:sz w:val="22"/>
          <w:szCs w:val="22"/>
        </w:rPr>
        <w:t>A base do referido exame aná</w:t>
      </w:r>
      <w:r w:rsidRPr="00463EFF">
        <w:rPr>
          <w:rFonts w:ascii="Times New Roman" w:eastAsia="MS Mincho" w:hAnsi="Times New Roman"/>
          <w:noProof/>
          <w:sz w:val="22"/>
          <w:szCs w:val="22"/>
        </w:rPr>
        <w:t>lise perce</w:t>
      </w:r>
      <w:r w:rsidR="001F66AF">
        <w:rPr>
          <w:rFonts w:ascii="Times New Roman" w:eastAsia="MS Mincho" w:hAnsi="Times New Roman"/>
          <w:noProof/>
          <w:sz w:val="22"/>
          <w:szCs w:val="22"/>
        </w:rPr>
        <w:t>p</w:t>
      </w:r>
      <w:r w:rsidRPr="00463EFF">
        <w:rPr>
          <w:rFonts w:ascii="Times New Roman" w:eastAsia="MS Mincho" w:hAnsi="Times New Roman"/>
          <w:noProof/>
          <w:sz w:val="22"/>
          <w:szCs w:val="22"/>
        </w:rPr>
        <w:t xml:space="preserve">tiva-auditiva comparativa entre material questionado e padrão </w:t>
      </w:r>
      <w:r w:rsidR="00F35221">
        <w:rPr>
          <w:rFonts w:ascii="Times New Roman" w:eastAsia="MS Mincho" w:hAnsi="Times New Roman"/>
          <w:noProof/>
          <w:sz w:val="22"/>
          <w:szCs w:val="22"/>
        </w:rPr>
        <w:t>é</w:t>
      </w:r>
      <w:r w:rsidRPr="00463EFF">
        <w:rPr>
          <w:rFonts w:ascii="Times New Roman" w:eastAsia="MS Mincho" w:hAnsi="Times New Roman"/>
          <w:noProof/>
          <w:sz w:val="22"/>
          <w:szCs w:val="22"/>
        </w:rPr>
        <w:t xml:space="preserve"> realizada com a utilização de protocolos estudados e publicados por inúmeros especialistas no âmbito da comunicação e de seu uso nas perícias de Comparação de Locutor.  Referida análise tem sido utilizada ao longo das últimas décadas com base em vários </w:t>
      </w:r>
      <w:r w:rsidR="001F66AF">
        <w:rPr>
          <w:rFonts w:ascii="Times New Roman" w:eastAsia="MS Mincho" w:hAnsi="Times New Roman"/>
          <w:noProof/>
          <w:sz w:val="22"/>
          <w:szCs w:val="22"/>
        </w:rPr>
        <w:t>documentos</w:t>
      </w:r>
      <w:r w:rsidRPr="00463EFF">
        <w:rPr>
          <w:rFonts w:ascii="Times New Roman" w:eastAsia="MS Mincho" w:hAnsi="Times New Roman"/>
          <w:noProof/>
          <w:sz w:val="22"/>
          <w:szCs w:val="22"/>
        </w:rPr>
        <w:t xml:space="preserve"> (Guimarães et al., 2007; Hirano, 1981; Dejonckere et al, 1996; Pinho, 2002; Pinho e Pontes, 2008; Brasoloto e Rehder, 2011).  </w:t>
      </w:r>
    </w:p>
    <w:p w:rsidR="00435161" w:rsidRPr="00463EFF" w:rsidRDefault="1C3FEADF" w:rsidP="1C3FEADF">
      <w:pPr>
        <w:tabs>
          <w:tab w:val="left" w:pos="3988"/>
        </w:tabs>
        <w:spacing w:line="240" w:lineRule="auto"/>
        <w:ind w:firstLine="1134"/>
        <w:rPr>
          <w:sz w:val="22"/>
          <w:szCs w:val="22"/>
        </w:rPr>
      </w:pPr>
      <w:r w:rsidRPr="1C3FEADF">
        <w:rPr>
          <w:noProof/>
          <w:sz w:val="22"/>
          <w:szCs w:val="22"/>
        </w:rPr>
        <w:t xml:space="preserve">Na área forense, tem-se conhecimento de que o </w:t>
      </w:r>
      <w:r w:rsidRPr="1C3FEADF">
        <w:rPr>
          <w:i/>
          <w:iCs/>
          <w:noProof/>
          <w:sz w:val="22"/>
          <w:szCs w:val="22"/>
        </w:rPr>
        <w:t>Vocal Profile Analysis</w:t>
      </w:r>
      <w:r w:rsidRPr="1C3FEADF">
        <w:rPr>
          <w:noProof/>
          <w:sz w:val="22"/>
          <w:szCs w:val="22"/>
        </w:rPr>
        <w:t xml:space="preserve"> (VPA)</w:t>
      </w:r>
      <w:r w:rsidRPr="1C3FEADF">
        <w:rPr>
          <w:noProof/>
          <w:sz w:val="22"/>
          <w:szCs w:val="22"/>
          <w:lang w:val="pt-PT"/>
        </w:rPr>
        <w:t xml:space="preserve"> é usado por pelo menos dois laboratórios na Europa (Alemanha e França) com base no protocolo Laver (1980), embora as versões não sejam idênticas. </w:t>
      </w:r>
      <w:r w:rsidRPr="1C3FEADF">
        <w:rPr>
          <w:noProof/>
          <w:sz w:val="22"/>
          <w:szCs w:val="22"/>
        </w:rPr>
        <w:t xml:space="preserve">No Brasil, </w:t>
      </w:r>
      <w:r w:rsidR="001F66AF">
        <w:rPr>
          <w:noProof/>
          <w:sz w:val="22"/>
          <w:szCs w:val="22"/>
        </w:rPr>
        <w:t>este</w:t>
      </w:r>
      <w:r w:rsidRPr="1C3FEADF">
        <w:rPr>
          <w:noProof/>
          <w:sz w:val="22"/>
          <w:szCs w:val="22"/>
        </w:rPr>
        <w:t xml:space="preserve"> foi adaptado para o português por especialistas em 2008 (Camargo e Madureira), sendo denominado </w:t>
      </w:r>
      <w:r w:rsidRPr="00FF0318">
        <w:rPr>
          <w:i/>
          <w:noProof/>
          <w:sz w:val="22"/>
          <w:szCs w:val="22"/>
        </w:rPr>
        <w:t>Voice Profile</w:t>
      </w:r>
      <w:r w:rsidRPr="1C3FEADF">
        <w:rPr>
          <w:noProof/>
          <w:sz w:val="22"/>
          <w:szCs w:val="22"/>
        </w:rPr>
        <w:t xml:space="preserve"> </w:t>
      </w:r>
      <w:r w:rsidRPr="00FF0318">
        <w:rPr>
          <w:i/>
          <w:noProof/>
          <w:sz w:val="22"/>
          <w:szCs w:val="22"/>
        </w:rPr>
        <w:t>Analysis</w:t>
      </w:r>
      <w:r w:rsidRPr="1C3FEADF">
        <w:rPr>
          <w:noProof/>
          <w:sz w:val="22"/>
          <w:szCs w:val="22"/>
        </w:rPr>
        <w:t xml:space="preserve"> </w:t>
      </w:r>
      <w:r w:rsidRPr="00FF0318">
        <w:rPr>
          <w:i/>
          <w:noProof/>
          <w:sz w:val="22"/>
          <w:szCs w:val="22"/>
        </w:rPr>
        <w:t>Scheme</w:t>
      </w:r>
      <w:r w:rsidRPr="1C3FEADF">
        <w:rPr>
          <w:noProof/>
          <w:sz w:val="22"/>
          <w:szCs w:val="22"/>
        </w:rPr>
        <w:t xml:space="preserve"> - VPAS (PB-VPAS). Em 2015, foi publicado pelos peritos oficiais do</w:t>
      </w:r>
      <w:r w:rsidR="00FF0318">
        <w:rPr>
          <w:noProof/>
          <w:sz w:val="22"/>
          <w:szCs w:val="22"/>
        </w:rPr>
        <w:t>s</w:t>
      </w:r>
      <w:r w:rsidRPr="1C3FEADF">
        <w:rPr>
          <w:noProof/>
          <w:sz w:val="22"/>
          <w:szCs w:val="22"/>
        </w:rPr>
        <w:t xml:space="preserve"> estado</w:t>
      </w:r>
      <w:r w:rsidR="00FF0318">
        <w:rPr>
          <w:noProof/>
          <w:sz w:val="22"/>
          <w:szCs w:val="22"/>
        </w:rPr>
        <w:t>s</w:t>
      </w:r>
      <w:r w:rsidRPr="1C3FEADF">
        <w:rPr>
          <w:noProof/>
          <w:sz w:val="22"/>
          <w:szCs w:val="22"/>
        </w:rPr>
        <w:t xml:space="preserve"> de  Santa Catarina e do Rio Grande do Sul o “Protocolo Forense para Análise Perceptivo-Auditiva de Amostras de fala”.</w:t>
      </w:r>
      <w:r w:rsidRPr="1C3FEADF">
        <w:rPr>
          <w:sz w:val="22"/>
          <w:szCs w:val="22"/>
        </w:rPr>
        <w:t>É imprescindível elucidar que a análise acústica por si só não fornece dados suficientes para confirmar um locutor ou eliminá-lo da comparação. Desta forma, a análise acústica é utilizada como mais uma ferramenta no exame de Comparação Forense de Locutor.</w:t>
      </w:r>
    </w:p>
    <w:p w:rsidR="00435161" w:rsidRDefault="1C3FEADF" w:rsidP="1C3FEADF">
      <w:pPr>
        <w:tabs>
          <w:tab w:val="left" w:pos="3988"/>
        </w:tabs>
        <w:spacing w:line="240" w:lineRule="auto"/>
        <w:ind w:firstLine="1134"/>
        <w:rPr>
          <w:sz w:val="22"/>
          <w:szCs w:val="22"/>
        </w:rPr>
      </w:pPr>
      <w:r w:rsidRPr="1C3FEADF">
        <w:rPr>
          <w:sz w:val="22"/>
          <w:szCs w:val="22"/>
        </w:rPr>
        <w:t xml:space="preserve">Os resultados apresentados </w:t>
      </w:r>
      <w:r w:rsidR="00324900">
        <w:rPr>
          <w:sz w:val="22"/>
          <w:szCs w:val="22"/>
        </w:rPr>
        <w:t>são</w:t>
      </w:r>
      <w:r w:rsidRPr="1C3FEADF">
        <w:rPr>
          <w:sz w:val="22"/>
          <w:szCs w:val="22"/>
        </w:rPr>
        <w:t xml:space="preserve"> baseados nos parâmetros consistentes, distintivos e com fortes traços de compatibilidade entre as amostras, seguindo o protocolo de Análise Acústica utilizado no Ministério Público do Estado de São Paulo (Sanches, 2015).</w:t>
      </w:r>
    </w:p>
    <w:p w:rsidR="00435161" w:rsidRPr="00832DBB" w:rsidRDefault="00FF0318" w:rsidP="1C3FEADF">
      <w:pPr>
        <w:pStyle w:val="Corpodetexto"/>
        <w:spacing w:line="240" w:lineRule="auto"/>
        <w:ind w:firstLine="1134"/>
        <w:rPr>
          <w:rFonts w:ascii="Times New Roman" w:eastAsia="MS Mincho" w:hAnsi="Times New Roman"/>
          <w:noProof/>
          <w:sz w:val="22"/>
          <w:szCs w:val="22"/>
        </w:rPr>
      </w:pPr>
      <w:r>
        <w:rPr>
          <w:rFonts w:ascii="Times New Roman" w:hAnsi="Times New Roman"/>
          <w:sz w:val="22"/>
          <w:szCs w:val="22"/>
        </w:rPr>
        <w:lastRenderedPageBreak/>
        <w:t>Desta feita, desd</w:t>
      </w:r>
      <w:r w:rsidR="1C3FEADF" w:rsidRPr="00F35221">
        <w:rPr>
          <w:rFonts w:ascii="Times New Roman" w:hAnsi="Times New Roman"/>
          <w:sz w:val="22"/>
          <w:szCs w:val="22"/>
        </w:rPr>
        <w:t>e o ano de 2013 com participações em eventos de Criminalística</w:t>
      </w:r>
      <w:r>
        <w:rPr>
          <w:rFonts w:ascii="Times New Roman" w:hAnsi="Times New Roman"/>
          <w:sz w:val="22"/>
          <w:szCs w:val="22"/>
        </w:rPr>
        <w:t xml:space="preserve"> e</w:t>
      </w:r>
      <w:r w:rsidR="1C3FEADF" w:rsidRPr="00F35221">
        <w:rPr>
          <w:rFonts w:ascii="Times New Roman" w:hAnsi="Times New Roman"/>
          <w:sz w:val="22"/>
          <w:szCs w:val="22"/>
        </w:rPr>
        <w:t xml:space="preserve"> o aceite de estudos de caso envolvendo a CL </w:t>
      </w:r>
      <w:r w:rsidR="00F35221" w:rsidRPr="00F35221">
        <w:rPr>
          <w:rFonts w:ascii="Times New Roman" w:hAnsi="Times New Roman"/>
          <w:sz w:val="22"/>
          <w:szCs w:val="22"/>
        </w:rPr>
        <w:t>d</w:t>
      </w:r>
      <w:r w:rsidR="1C3FEADF" w:rsidRPr="00F35221">
        <w:rPr>
          <w:rFonts w:ascii="Times New Roman" w:hAnsi="Times New Roman"/>
          <w:sz w:val="22"/>
          <w:szCs w:val="22"/>
        </w:rPr>
        <w:t>a ins</w:t>
      </w:r>
      <w:r w:rsidR="001F66AF">
        <w:rPr>
          <w:rFonts w:ascii="Times New Roman" w:hAnsi="Times New Roman"/>
          <w:sz w:val="22"/>
          <w:szCs w:val="22"/>
        </w:rPr>
        <w:t>tituição, este setor buscou nova</w:t>
      </w:r>
      <w:r w:rsidR="1C3FEADF" w:rsidRPr="00F35221">
        <w:rPr>
          <w:rFonts w:ascii="Times New Roman" w:hAnsi="Times New Roman"/>
          <w:sz w:val="22"/>
          <w:szCs w:val="22"/>
        </w:rPr>
        <w:t xml:space="preserve">s frentes de </w:t>
      </w:r>
      <w:r w:rsidR="001F66AF">
        <w:rPr>
          <w:rFonts w:ascii="Times New Roman" w:hAnsi="Times New Roman"/>
          <w:sz w:val="22"/>
          <w:szCs w:val="22"/>
        </w:rPr>
        <w:t>pesquisa</w:t>
      </w:r>
      <w:r w:rsidR="1C3FEADF" w:rsidRPr="00F35221">
        <w:rPr>
          <w:rFonts w:ascii="Times New Roman" w:hAnsi="Times New Roman"/>
          <w:sz w:val="22"/>
          <w:szCs w:val="22"/>
        </w:rPr>
        <w:t xml:space="preserve">, mais recentemente com um convênio entre a Escola Superior do MP/SP e a UNICAMP para realização de </w:t>
      </w:r>
      <w:r w:rsidR="001F66AF">
        <w:rPr>
          <w:rFonts w:ascii="Times New Roman" w:hAnsi="Times New Roman"/>
          <w:sz w:val="22"/>
          <w:szCs w:val="22"/>
        </w:rPr>
        <w:t>análise</w:t>
      </w:r>
      <w:r w:rsidR="1C3FEADF" w:rsidRPr="00F35221">
        <w:rPr>
          <w:rFonts w:ascii="Times New Roman" w:hAnsi="Times New Roman"/>
          <w:sz w:val="22"/>
          <w:szCs w:val="22"/>
        </w:rPr>
        <w:t xml:space="preserve"> e desenvolvimento de ferramentas e </w:t>
      </w:r>
      <w:r w:rsidR="001F66AF">
        <w:rPr>
          <w:rFonts w:ascii="Times New Roman" w:hAnsi="Times New Roman"/>
          <w:sz w:val="22"/>
          <w:szCs w:val="22"/>
        </w:rPr>
        <w:t xml:space="preserve">criação de </w:t>
      </w:r>
      <w:r w:rsidR="1C3FEADF" w:rsidRPr="00F35221">
        <w:rPr>
          <w:rFonts w:ascii="Times New Roman" w:hAnsi="Times New Roman"/>
          <w:sz w:val="22"/>
          <w:szCs w:val="22"/>
        </w:rPr>
        <w:t xml:space="preserve">protocolos que viabilizem a perícia de </w:t>
      </w:r>
      <w:r w:rsidR="00324900">
        <w:rPr>
          <w:rFonts w:ascii="Times New Roman" w:hAnsi="Times New Roman"/>
          <w:sz w:val="22"/>
          <w:szCs w:val="22"/>
        </w:rPr>
        <w:t>CL, realizado com dados reais</w:t>
      </w:r>
      <w:r w:rsidR="1C3FEADF" w:rsidRPr="00F35221">
        <w:rPr>
          <w:rFonts w:ascii="Times New Roman" w:hAnsi="Times New Roman"/>
          <w:sz w:val="22"/>
          <w:szCs w:val="22"/>
        </w:rPr>
        <w:t xml:space="preserve">, possibilitando a divulgação e padronização de estudos na área. </w:t>
      </w:r>
      <w:r w:rsidR="1C3FEADF" w:rsidRPr="00F35221">
        <w:rPr>
          <w:rFonts w:ascii="Times New Roman" w:eastAsia="MS Mincho" w:hAnsi="Times New Roman"/>
          <w:noProof/>
          <w:sz w:val="22"/>
          <w:szCs w:val="22"/>
        </w:rPr>
        <w:t>Ressalta-se que, em 2015, foi</w:t>
      </w:r>
      <w:r w:rsidR="001F66AF">
        <w:rPr>
          <w:rFonts w:ascii="Times New Roman" w:eastAsia="MS Mincho" w:hAnsi="Times New Roman"/>
          <w:noProof/>
          <w:sz w:val="22"/>
          <w:szCs w:val="22"/>
        </w:rPr>
        <w:t xml:space="preserve"> publicado um livro na área da F</w:t>
      </w:r>
      <w:r w:rsidR="1C3FEADF" w:rsidRPr="00F35221">
        <w:rPr>
          <w:rFonts w:ascii="Times New Roman" w:eastAsia="MS Mincho" w:hAnsi="Times New Roman"/>
          <w:noProof/>
          <w:sz w:val="22"/>
          <w:szCs w:val="22"/>
        </w:rPr>
        <w:t>onoaudolog</w:t>
      </w:r>
      <w:r w:rsidR="001F66AF">
        <w:rPr>
          <w:rFonts w:ascii="Times New Roman" w:eastAsia="MS Mincho" w:hAnsi="Times New Roman"/>
          <w:noProof/>
          <w:sz w:val="22"/>
          <w:szCs w:val="22"/>
        </w:rPr>
        <w:t>ia F</w:t>
      </w:r>
      <w:r w:rsidR="1C3FEADF" w:rsidRPr="00F35221">
        <w:rPr>
          <w:rFonts w:ascii="Times New Roman" w:eastAsia="MS Mincho" w:hAnsi="Times New Roman"/>
          <w:noProof/>
          <w:sz w:val="22"/>
          <w:szCs w:val="22"/>
        </w:rPr>
        <w:t>orense pelas fonoaudiólogas da instituição sobre o tema com a colaboração de peritos oficiais do</w:t>
      </w:r>
      <w:r>
        <w:rPr>
          <w:rFonts w:ascii="Times New Roman" w:eastAsia="MS Mincho" w:hAnsi="Times New Roman"/>
          <w:noProof/>
          <w:sz w:val="22"/>
          <w:szCs w:val="22"/>
        </w:rPr>
        <w:t>s</w:t>
      </w:r>
      <w:r w:rsidR="1C3FEADF" w:rsidRPr="00F35221">
        <w:rPr>
          <w:rFonts w:ascii="Times New Roman" w:eastAsia="MS Mincho" w:hAnsi="Times New Roman"/>
          <w:noProof/>
          <w:sz w:val="22"/>
          <w:szCs w:val="22"/>
        </w:rPr>
        <w:t xml:space="preserve"> estado</w:t>
      </w:r>
      <w:r>
        <w:rPr>
          <w:rFonts w:ascii="Times New Roman" w:eastAsia="MS Mincho" w:hAnsi="Times New Roman"/>
          <w:noProof/>
          <w:sz w:val="22"/>
          <w:szCs w:val="22"/>
        </w:rPr>
        <w:t>s</w:t>
      </w:r>
      <w:r w:rsidR="1C3FEADF" w:rsidRPr="00F35221">
        <w:rPr>
          <w:rFonts w:ascii="Times New Roman" w:eastAsia="MS Mincho" w:hAnsi="Times New Roman"/>
          <w:noProof/>
          <w:sz w:val="22"/>
          <w:szCs w:val="22"/>
        </w:rPr>
        <w:t xml:space="preserve"> de São Paulo, Paraná e Curitiba o que viabilizou maior divulgação do trabalho realizado e a necessidade de aprimoramento e padronização do exame.</w:t>
      </w:r>
    </w:p>
    <w:p w:rsidR="0072608C" w:rsidRPr="00FF0318" w:rsidRDefault="1C3FEADF" w:rsidP="1C3FEADF">
      <w:pPr>
        <w:pStyle w:val="Corpodetexto"/>
        <w:spacing w:line="240" w:lineRule="auto"/>
        <w:ind w:firstLine="1134"/>
        <w:rPr>
          <w:rFonts w:ascii="Times New Roman" w:hAnsi="Times New Roman"/>
          <w:sz w:val="22"/>
          <w:szCs w:val="22"/>
        </w:rPr>
      </w:pPr>
      <w:r w:rsidRPr="00F35221">
        <w:rPr>
          <w:rFonts w:ascii="Times New Roman" w:hAnsi="Times New Roman"/>
          <w:sz w:val="22"/>
          <w:szCs w:val="22"/>
        </w:rPr>
        <w:t xml:space="preserve">Assim, desde o início das perícias em 2011, já somam 188 casos, que envolveram material questionado em áudio ou vídeo ou documentos, como transcrição, grafo, melhoria do vídeo, transposição ou conversão, identificação de pessoa (imagem), autenticidade, melhoria de áudio, identificação de objeto, contestação ou argumentação em laudos, leitura labial, sendo que desses 30 foram para realização da comparação de locutores, </w:t>
      </w:r>
      <w:r w:rsidRPr="00FF0318">
        <w:rPr>
          <w:rFonts w:ascii="Times New Roman" w:hAnsi="Times New Roman"/>
          <w:sz w:val="22"/>
          <w:szCs w:val="22"/>
        </w:rPr>
        <w:t>portanto, do total, 80% são perícias em áudio e uma parcela de 16% de CL</w:t>
      </w:r>
      <w:r w:rsidRPr="00F35221">
        <w:rPr>
          <w:rFonts w:ascii="Times New Roman" w:hAnsi="Times New Roman"/>
        </w:rPr>
        <w:t>.</w:t>
      </w:r>
    </w:p>
    <w:p w:rsidR="00435161" w:rsidRPr="00832DBB" w:rsidRDefault="00435161" w:rsidP="00435161">
      <w:pPr>
        <w:tabs>
          <w:tab w:val="left" w:pos="3988"/>
        </w:tabs>
        <w:spacing w:line="240" w:lineRule="auto"/>
        <w:ind w:firstLine="1663"/>
        <w:rPr>
          <w:sz w:val="22"/>
          <w:szCs w:val="22"/>
        </w:rPr>
      </w:pPr>
    </w:p>
    <w:p w:rsidR="1C3FEADF" w:rsidRDefault="1C3FEADF" w:rsidP="001F66AF">
      <w:pPr>
        <w:pStyle w:val="Corpodetexto"/>
        <w:spacing w:line="240" w:lineRule="auto"/>
        <w:ind w:firstLine="0"/>
      </w:pPr>
      <w:r>
        <w:rPr>
          <w:noProof/>
        </w:rPr>
        <w:drawing>
          <wp:inline distT="0" distB="0" distL="0" distR="0">
            <wp:extent cx="4572000" cy="2724150"/>
            <wp:effectExtent l="0" t="0" r="0" b="0"/>
            <wp:docPr id="185090666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4572000" cy="2724150"/>
                    </a:xfrm>
                    <a:prstGeom prst="rect">
                      <a:avLst/>
                    </a:prstGeom>
                  </pic:spPr>
                </pic:pic>
              </a:graphicData>
            </a:graphic>
          </wp:inline>
        </w:drawing>
      </w:r>
    </w:p>
    <w:p w:rsidR="00435161" w:rsidRDefault="1C3FEADF" w:rsidP="001F66AF">
      <w:pPr>
        <w:spacing w:line="240" w:lineRule="auto"/>
        <w:rPr>
          <w:sz w:val="22"/>
          <w:szCs w:val="22"/>
        </w:rPr>
      </w:pPr>
      <w:r w:rsidRPr="1C3FEADF">
        <w:rPr>
          <w:b/>
          <w:bCs/>
          <w:sz w:val="22"/>
          <w:szCs w:val="22"/>
        </w:rPr>
        <w:t>Figura 1 –</w:t>
      </w:r>
      <w:r w:rsidRPr="1C3FEADF">
        <w:rPr>
          <w:sz w:val="22"/>
          <w:szCs w:val="22"/>
        </w:rPr>
        <w:t xml:space="preserve"> Procedimentos realizados de dezembro de 2011 a maio de 2017</w:t>
      </w:r>
    </w:p>
    <w:p w:rsidR="00435161" w:rsidRDefault="00435161" w:rsidP="00435161">
      <w:pPr>
        <w:spacing w:line="240" w:lineRule="auto"/>
        <w:rPr>
          <w:sz w:val="22"/>
          <w:szCs w:val="22"/>
        </w:rPr>
      </w:pPr>
    </w:p>
    <w:p w:rsidR="00795D48" w:rsidRPr="003C60FA" w:rsidRDefault="1C3FEADF" w:rsidP="004F6518">
      <w:pPr>
        <w:pStyle w:val="Corpodetexto"/>
        <w:spacing w:line="240" w:lineRule="auto"/>
        <w:ind w:firstLine="1134"/>
        <w:rPr>
          <w:rFonts w:ascii="Times New Roman" w:hAnsi="Times New Roman"/>
          <w:strike/>
          <w:sz w:val="22"/>
          <w:szCs w:val="22"/>
        </w:rPr>
      </w:pPr>
      <w:r w:rsidRPr="00F35221">
        <w:rPr>
          <w:rFonts w:ascii="Times New Roman" w:hAnsi="Times New Roman"/>
          <w:sz w:val="22"/>
          <w:szCs w:val="22"/>
        </w:rPr>
        <w:t>Dentre os casos de C</w:t>
      </w:r>
      <w:r w:rsidR="00F35221">
        <w:rPr>
          <w:rFonts w:ascii="Times New Roman" w:hAnsi="Times New Roman"/>
          <w:sz w:val="22"/>
          <w:szCs w:val="22"/>
        </w:rPr>
        <w:t xml:space="preserve">L estão investigações para apuração de crimes de formação de quadrilha, tráfico ou associação ao tráfico de drogas, crime contra a vida, corrupção, crimes eleitorais e de improbidade administrativa, sendo a maior parte dos casos relacionada </w:t>
      </w:r>
      <w:r w:rsidR="00565420">
        <w:rPr>
          <w:rFonts w:ascii="Times New Roman" w:hAnsi="Times New Roman"/>
          <w:sz w:val="22"/>
          <w:szCs w:val="22"/>
        </w:rPr>
        <w:t xml:space="preserve">ao crime organizado com a </w:t>
      </w:r>
      <w:r w:rsidR="00F35221">
        <w:rPr>
          <w:rFonts w:ascii="Times New Roman" w:hAnsi="Times New Roman"/>
          <w:sz w:val="22"/>
          <w:szCs w:val="22"/>
        </w:rPr>
        <w:t xml:space="preserve">análise de material </w:t>
      </w:r>
      <w:r w:rsidR="00565420">
        <w:rPr>
          <w:rFonts w:ascii="Times New Roman" w:hAnsi="Times New Roman"/>
          <w:sz w:val="22"/>
          <w:szCs w:val="22"/>
        </w:rPr>
        <w:t>resultado</w:t>
      </w:r>
      <w:r w:rsidR="00F35221">
        <w:rPr>
          <w:rFonts w:ascii="Times New Roman" w:hAnsi="Times New Roman"/>
          <w:sz w:val="22"/>
          <w:szCs w:val="22"/>
        </w:rPr>
        <w:t xml:space="preserve"> de interceptações telefônicas. </w:t>
      </w:r>
    </w:p>
    <w:p w:rsidR="1C3FEADF" w:rsidRDefault="1C3FEADF" w:rsidP="1C3FEADF">
      <w:pPr>
        <w:pStyle w:val="Corpodetexto"/>
        <w:spacing w:line="240" w:lineRule="auto"/>
        <w:ind w:firstLine="1134"/>
        <w:rPr>
          <w:rFonts w:ascii="Times New Roman" w:hAnsi="Times New Roman"/>
          <w:strike/>
          <w:sz w:val="22"/>
          <w:szCs w:val="22"/>
        </w:rPr>
      </w:pPr>
    </w:p>
    <w:p w:rsidR="1C3FEADF" w:rsidRDefault="1C3FEADF" w:rsidP="001F66AF">
      <w:pPr>
        <w:pStyle w:val="Corpodetexto"/>
        <w:spacing w:line="240" w:lineRule="auto"/>
        <w:ind w:firstLine="0"/>
      </w:pPr>
      <w:r>
        <w:rPr>
          <w:noProof/>
        </w:rPr>
        <w:drawing>
          <wp:inline distT="0" distB="0" distL="0" distR="0">
            <wp:extent cx="4572000" cy="2714625"/>
            <wp:effectExtent l="0" t="0" r="0" b="0"/>
            <wp:docPr id="75882768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4572000" cy="2714625"/>
                    </a:xfrm>
                    <a:prstGeom prst="rect">
                      <a:avLst/>
                    </a:prstGeom>
                  </pic:spPr>
                </pic:pic>
              </a:graphicData>
            </a:graphic>
          </wp:inline>
        </w:drawing>
      </w:r>
    </w:p>
    <w:p w:rsidR="1C3FEADF" w:rsidRDefault="1C3FEADF" w:rsidP="001F66AF">
      <w:pPr>
        <w:spacing w:line="240" w:lineRule="auto"/>
        <w:rPr>
          <w:sz w:val="22"/>
          <w:szCs w:val="22"/>
        </w:rPr>
      </w:pPr>
      <w:r w:rsidRPr="1C3FEADF">
        <w:rPr>
          <w:b/>
          <w:bCs/>
          <w:sz w:val="22"/>
          <w:szCs w:val="22"/>
        </w:rPr>
        <w:t>Figura 2 –</w:t>
      </w:r>
      <w:r w:rsidRPr="1C3FEADF">
        <w:rPr>
          <w:sz w:val="22"/>
          <w:szCs w:val="22"/>
        </w:rPr>
        <w:t xml:space="preserve"> CL em relação aos crimes praticados</w:t>
      </w:r>
    </w:p>
    <w:p w:rsidR="1C3FEADF" w:rsidRDefault="1C3FEADF" w:rsidP="1C3FEADF">
      <w:pPr>
        <w:spacing w:line="240" w:lineRule="auto"/>
        <w:rPr>
          <w:sz w:val="22"/>
          <w:szCs w:val="22"/>
          <w:highlight w:val="green"/>
        </w:rPr>
      </w:pPr>
    </w:p>
    <w:p w:rsidR="00435161" w:rsidRDefault="00435161" w:rsidP="0065142A">
      <w:pPr>
        <w:spacing w:line="240" w:lineRule="auto"/>
        <w:rPr>
          <w:sz w:val="22"/>
          <w:szCs w:val="22"/>
        </w:rPr>
      </w:pPr>
    </w:p>
    <w:p w:rsidR="00832DBB" w:rsidRDefault="00435161" w:rsidP="1C3FEADF">
      <w:pPr>
        <w:spacing w:line="240" w:lineRule="auto"/>
        <w:rPr>
          <w:sz w:val="22"/>
          <w:szCs w:val="22"/>
        </w:rPr>
      </w:pPr>
      <w:r>
        <w:rPr>
          <w:sz w:val="22"/>
          <w:szCs w:val="22"/>
        </w:rPr>
        <w:tab/>
      </w:r>
      <w:r>
        <w:rPr>
          <w:sz w:val="22"/>
          <w:szCs w:val="22"/>
        </w:rPr>
        <w:tab/>
      </w:r>
      <w:r w:rsidRPr="00F35221">
        <w:rPr>
          <w:sz w:val="22"/>
          <w:szCs w:val="22"/>
        </w:rPr>
        <w:t>O CAEx/MP, atualmente coordenado e assessorado por duas promotoras de justiça, busca parcerias para melhor formação, aprimoramento de seus técnicos incentivando a elaboração de projetos, participação em cursos</w:t>
      </w:r>
      <w:r w:rsidR="001632E4" w:rsidRPr="00F35221">
        <w:rPr>
          <w:sz w:val="22"/>
          <w:szCs w:val="22"/>
        </w:rPr>
        <w:t xml:space="preserve"> e</w:t>
      </w:r>
      <w:r w:rsidRPr="00F35221">
        <w:rPr>
          <w:sz w:val="22"/>
          <w:szCs w:val="22"/>
        </w:rPr>
        <w:t xml:space="preserve"> eventos na área</w:t>
      </w:r>
      <w:r w:rsidR="0075779A">
        <w:rPr>
          <w:sz w:val="22"/>
          <w:szCs w:val="22"/>
        </w:rPr>
        <w:t>, considerando que não há treinamento específico ou curso preparatório para desenvolvimento de referidas análises</w:t>
      </w:r>
      <w:r w:rsidRPr="00F35221">
        <w:rPr>
          <w:sz w:val="22"/>
          <w:szCs w:val="22"/>
        </w:rPr>
        <w:t xml:space="preserve">. Ressalta-se que o convênio entre a instituição e a UNICAMP para realização de pesquisas com dados reais, pioneiro na </w:t>
      </w:r>
      <w:r w:rsidR="001632E4" w:rsidRPr="00F35221">
        <w:rPr>
          <w:sz w:val="22"/>
          <w:szCs w:val="22"/>
        </w:rPr>
        <w:t>área</w:t>
      </w:r>
      <w:r w:rsidR="0075779A">
        <w:rPr>
          <w:sz w:val="22"/>
          <w:szCs w:val="22"/>
        </w:rPr>
        <w:t>,</w:t>
      </w:r>
      <w:r w:rsidR="001632E4" w:rsidRPr="00F35221">
        <w:rPr>
          <w:sz w:val="22"/>
          <w:szCs w:val="22"/>
        </w:rPr>
        <w:t xml:space="preserve"> foi viabilizado por esta visão de que uma instituição que não possui curso de formação para seus analistas nas diversas áreas periciais, necessita do apoio e da imersão em </w:t>
      </w:r>
      <w:r w:rsidR="0075779A">
        <w:rPr>
          <w:sz w:val="22"/>
          <w:szCs w:val="22"/>
        </w:rPr>
        <w:t xml:space="preserve">outras </w:t>
      </w:r>
      <w:r w:rsidR="001632E4" w:rsidRPr="00F35221">
        <w:rPr>
          <w:sz w:val="22"/>
          <w:szCs w:val="22"/>
        </w:rPr>
        <w:t xml:space="preserve">que já desenvolvem o referido exame para que este seja realizado com base em estudos e levantamentos já </w:t>
      </w:r>
      <w:r w:rsidR="0075779A">
        <w:rPr>
          <w:sz w:val="22"/>
          <w:szCs w:val="22"/>
        </w:rPr>
        <w:t>fundamentados</w:t>
      </w:r>
      <w:r w:rsidR="001632E4" w:rsidRPr="00F35221">
        <w:rPr>
          <w:sz w:val="22"/>
          <w:szCs w:val="22"/>
        </w:rPr>
        <w:t xml:space="preserve"> por outros examinadores mais experientes como os peritos oficiais estaduais e federais.</w:t>
      </w:r>
    </w:p>
    <w:p w:rsidR="00832DBB" w:rsidRDefault="0075779A" w:rsidP="0065142A">
      <w:pPr>
        <w:spacing w:line="240" w:lineRule="auto"/>
        <w:rPr>
          <w:sz w:val="22"/>
          <w:szCs w:val="22"/>
        </w:rPr>
      </w:pPr>
      <w:r>
        <w:rPr>
          <w:sz w:val="22"/>
          <w:szCs w:val="22"/>
        </w:rPr>
        <w:tab/>
      </w:r>
      <w:r>
        <w:rPr>
          <w:sz w:val="22"/>
          <w:szCs w:val="22"/>
        </w:rPr>
        <w:tab/>
        <w:t>Conclui-se que o setor responsável por tais análises foi criado e seus exames, inicialmente, realizados com base em protocolos e literatura existente</w:t>
      </w:r>
      <w:r w:rsidR="00FF0318">
        <w:rPr>
          <w:sz w:val="22"/>
          <w:szCs w:val="22"/>
        </w:rPr>
        <w:t xml:space="preserve">. Porém, </w:t>
      </w:r>
      <w:r>
        <w:rPr>
          <w:sz w:val="22"/>
          <w:szCs w:val="22"/>
        </w:rPr>
        <w:t>foi justamente com o conhecimento da forma de trabalhar de outras instituições</w:t>
      </w:r>
      <w:r w:rsidR="002F46AF">
        <w:rPr>
          <w:sz w:val="22"/>
          <w:szCs w:val="22"/>
        </w:rPr>
        <w:t>,</w:t>
      </w:r>
      <w:r w:rsidR="00EF0D5E">
        <w:rPr>
          <w:sz w:val="22"/>
          <w:szCs w:val="22"/>
        </w:rPr>
        <w:t xml:space="preserve"> especialmente a partir do contato com </w:t>
      </w:r>
      <w:r>
        <w:rPr>
          <w:sz w:val="22"/>
          <w:szCs w:val="22"/>
        </w:rPr>
        <w:t>o</w:t>
      </w:r>
      <w:r w:rsidR="00EF0D5E">
        <w:rPr>
          <w:sz w:val="22"/>
          <w:szCs w:val="22"/>
        </w:rPr>
        <w:t xml:space="preserve">s peritos oficiais estaduais e federais, </w:t>
      </w:r>
      <w:r>
        <w:rPr>
          <w:sz w:val="22"/>
          <w:szCs w:val="22"/>
        </w:rPr>
        <w:t xml:space="preserve">que a necessidade de novas pesquisas para contribuição na área de Comparação de Locutor </w:t>
      </w:r>
      <w:r w:rsidR="00565420">
        <w:rPr>
          <w:sz w:val="22"/>
          <w:szCs w:val="22"/>
        </w:rPr>
        <w:t xml:space="preserve">permitiu </w:t>
      </w:r>
      <w:r w:rsidR="00C62C4C">
        <w:rPr>
          <w:sz w:val="22"/>
          <w:szCs w:val="22"/>
        </w:rPr>
        <w:t>a consolidação de referida perícia. Ap</w:t>
      </w:r>
      <w:r w:rsidR="00565420">
        <w:rPr>
          <w:sz w:val="22"/>
          <w:szCs w:val="22"/>
        </w:rPr>
        <w:t xml:space="preserve">articipação das analistas no GEFF – Grupos de Pesquisas em Fonética Forense </w:t>
      </w:r>
      <w:r w:rsidR="00C62C4C">
        <w:rPr>
          <w:sz w:val="22"/>
          <w:szCs w:val="22"/>
        </w:rPr>
        <w:t>da UNICAMP</w:t>
      </w:r>
      <w:r w:rsidR="00565420">
        <w:rPr>
          <w:sz w:val="22"/>
          <w:szCs w:val="22"/>
        </w:rPr>
        <w:t xml:space="preserve"> em um ano de trabalho já tem como resultado um Proto</w:t>
      </w:r>
      <w:r w:rsidR="00C62C4C">
        <w:rPr>
          <w:sz w:val="22"/>
          <w:szCs w:val="22"/>
        </w:rPr>
        <w:t>co</w:t>
      </w:r>
      <w:r w:rsidR="00565420">
        <w:rPr>
          <w:sz w:val="22"/>
          <w:szCs w:val="22"/>
        </w:rPr>
        <w:t xml:space="preserve">lo de </w:t>
      </w:r>
      <w:r w:rsidR="00C62C4C">
        <w:rPr>
          <w:sz w:val="22"/>
          <w:szCs w:val="22"/>
        </w:rPr>
        <w:t xml:space="preserve">Procedimento para Comparação Forense de Locutor como uma proposta para preparação de dados. </w:t>
      </w:r>
    </w:p>
    <w:p w:rsidR="0075779A" w:rsidRDefault="0075779A" w:rsidP="0065142A">
      <w:pPr>
        <w:spacing w:line="240" w:lineRule="auto"/>
        <w:rPr>
          <w:sz w:val="22"/>
          <w:szCs w:val="22"/>
        </w:rPr>
      </w:pPr>
    </w:p>
    <w:p w:rsidR="0075779A" w:rsidRPr="00FC71F5" w:rsidRDefault="0075779A" w:rsidP="0065142A">
      <w:pPr>
        <w:spacing w:line="240" w:lineRule="auto"/>
        <w:rPr>
          <w:sz w:val="22"/>
          <w:szCs w:val="22"/>
        </w:rPr>
      </w:pPr>
    </w:p>
    <w:p w:rsidR="0065142A" w:rsidRPr="00FC71F5" w:rsidRDefault="0065142A" w:rsidP="1C3FEADF">
      <w:pPr>
        <w:pStyle w:val="Nivel1"/>
        <w:spacing w:line="240" w:lineRule="auto"/>
        <w:rPr>
          <w:sz w:val="20"/>
          <w:szCs w:val="20"/>
        </w:rPr>
      </w:pPr>
      <w:bookmarkStart w:id="1" w:name="_Toc311228598"/>
      <w:r w:rsidRPr="00FC71F5">
        <w:rPr>
          <w:sz w:val="20"/>
          <w:szCs w:val="20"/>
        </w:rPr>
        <w:t>REFERÊNCIAS BIBLIOGRÁFICAS</w:t>
      </w:r>
      <w:bookmarkEnd w:id="1"/>
    </w:p>
    <w:p w:rsidR="004F6518" w:rsidRPr="00B35C26" w:rsidRDefault="1C3FEADF" w:rsidP="1C3FEADF">
      <w:pPr>
        <w:spacing w:line="240" w:lineRule="auto"/>
        <w:rPr>
          <w:b/>
          <w:bCs/>
          <w:sz w:val="20"/>
          <w:szCs w:val="20"/>
        </w:rPr>
      </w:pPr>
      <w:r w:rsidRPr="1C3FEADF">
        <w:rPr>
          <w:sz w:val="20"/>
          <w:szCs w:val="20"/>
        </w:rPr>
        <w:t xml:space="preserve">BARBOSA, P; MADUREIRA, S. </w:t>
      </w:r>
      <w:r w:rsidRPr="1C3FEADF">
        <w:rPr>
          <w:i/>
          <w:iCs/>
          <w:sz w:val="20"/>
          <w:szCs w:val="20"/>
        </w:rPr>
        <w:t>Manual de Fonética Acústica Experimental:</w:t>
      </w:r>
      <w:r w:rsidRPr="1C3FEADF">
        <w:rPr>
          <w:sz w:val="20"/>
          <w:szCs w:val="20"/>
        </w:rPr>
        <w:t xml:space="preserve"> aplicações a dados do português. São Paulo: Cortez, 2015.</w:t>
      </w:r>
    </w:p>
    <w:p w:rsidR="004F6518" w:rsidRPr="00B35C26" w:rsidRDefault="1C3FEADF" w:rsidP="1C3FEADF">
      <w:pPr>
        <w:spacing w:line="240" w:lineRule="auto"/>
        <w:rPr>
          <w:b/>
          <w:bCs/>
          <w:sz w:val="20"/>
          <w:szCs w:val="20"/>
          <w:lang w:val="en-US"/>
        </w:rPr>
      </w:pPr>
      <w:r w:rsidRPr="1C3FEADF">
        <w:rPr>
          <w:sz w:val="20"/>
          <w:szCs w:val="20"/>
        </w:rPr>
        <w:t xml:space="preserve">DEJONCKERE, P.H; BRADLEY, P; CLEMENTE, P; GUY CORNUT, G; CREVIER-BUCHMAN, L; FRIEDRICH, G et al. </w:t>
      </w:r>
      <w:r w:rsidRPr="1C3FEADF">
        <w:rPr>
          <w:sz w:val="20"/>
          <w:szCs w:val="20"/>
          <w:lang w:val="en-US"/>
        </w:rPr>
        <w:t xml:space="preserve">A basic protocol for functional assessment of voice pathology, especially for investigating the efficacy of (phonosurgical) treatments and evaluating new assessment techniques. </w:t>
      </w:r>
      <w:r w:rsidRPr="1C3FEADF">
        <w:rPr>
          <w:i/>
          <w:iCs/>
          <w:sz w:val="20"/>
          <w:szCs w:val="20"/>
          <w:lang w:val="en-US"/>
        </w:rPr>
        <w:t>Eur Arch Otorhinolaryngol</w:t>
      </w:r>
      <w:r w:rsidRPr="1C3FEADF">
        <w:rPr>
          <w:sz w:val="20"/>
          <w:szCs w:val="20"/>
          <w:lang w:val="en-US"/>
        </w:rPr>
        <w:t>, 2001(258): p. 77–82.</w:t>
      </w:r>
    </w:p>
    <w:p w:rsidR="004F6518" w:rsidRPr="00B35C26" w:rsidRDefault="1C3FEADF" w:rsidP="1C3FEADF">
      <w:pPr>
        <w:spacing w:line="240" w:lineRule="auto"/>
        <w:rPr>
          <w:rFonts w:eastAsiaTheme="minorEastAsia"/>
          <w:b/>
          <w:bCs/>
          <w:sz w:val="20"/>
          <w:szCs w:val="20"/>
          <w:lang w:val="en-US" w:eastAsia="en-US"/>
        </w:rPr>
      </w:pPr>
      <w:r w:rsidRPr="1C3FEADF">
        <w:rPr>
          <w:rFonts w:eastAsiaTheme="minorEastAsia"/>
          <w:sz w:val="20"/>
          <w:szCs w:val="20"/>
          <w:lang w:val="en-US" w:eastAsia="en-US"/>
        </w:rPr>
        <w:t>ERIKSSON, Anders</w:t>
      </w:r>
      <w:r w:rsidRPr="1C3FEADF">
        <w:rPr>
          <w:rFonts w:eastAsiaTheme="minorEastAsia"/>
          <w:i/>
          <w:iCs/>
          <w:sz w:val="20"/>
          <w:szCs w:val="20"/>
          <w:lang w:val="en-US" w:eastAsia="en-US"/>
        </w:rPr>
        <w:t xml:space="preserve">. </w:t>
      </w:r>
      <w:r w:rsidRPr="1C3FEADF">
        <w:rPr>
          <w:rFonts w:eastAsiaTheme="minorEastAsia"/>
          <w:sz w:val="20"/>
          <w:szCs w:val="20"/>
          <w:lang w:val="en-US" w:eastAsia="en-US"/>
        </w:rPr>
        <w:t xml:space="preserve">Tutorial on </w:t>
      </w:r>
      <w:r w:rsidRPr="1C3FEADF">
        <w:rPr>
          <w:rFonts w:eastAsiaTheme="minorEastAsia"/>
          <w:i/>
          <w:iCs/>
          <w:sz w:val="20"/>
          <w:szCs w:val="20"/>
          <w:lang w:val="en-US" w:eastAsia="en-US"/>
        </w:rPr>
        <w:t>Forensic Speech Science</w:t>
      </w:r>
      <w:r w:rsidRPr="1C3FEADF">
        <w:rPr>
          <w:rFonts w:eastAsiaTheme="minorEastAsia"/>
          <w:sz w:val="20"/>
          <w:szCs w:val="20"/>
          <w:lang w:val="en-US" w:eastAsia="en-US"/>
        </w:rPr>
        <w:t>. 2005.</w:t>
      </w:r>
    </w:p>
    <w:p w:rsidR="004F6518" w:rsidRPr="00B35C26" w:rsidRDefault="1C3FEADF" w:rsidP="1C3FEADF">
      <w:pPr>
        <w:spacing w:line="240" w:lineRule="auto"/>
        <w:rPr>
          <w:b/>
          <w:bCs/>
          <w:sz w:val="20"/>
          <w:szCs w:val="20"/>
        </w:rPr>
      </w:pPr>
      <w:r w:rsidRPr="1C3FEADF">
        <w:rPr>
          <w:sz w:val="20"/>
          <w:szCs w:val="20"/>
          <w:lang w:val="en-US"/>
        </w:rPr>
        <w:t xml:space="preserve">ERIKSSON, A. </w:t>
      </w:r>
      <w:r w:rsidRPr="1C3FEADF">
        <w:rPr>
          <w:i/>
          <w:iCs/>
          <w:sz w:val="20"/>
          <w:szCs w:val="20"/>
          <w:lang w:val="en-US"/>
        </w:rPr>
        <w:t>Aural/acoustic vs. automatic methods in forensic phonetic case work</w:t>
      </w:r>
      <w:r w:rsidRPr="1C3FEADF">
        <w:rPr>
          <w:sz w:val="20"/>
          <w:szCs w:val="20"/>
          <w:lang w:val="en-US"/>
        </w:rPr>
        <w:t xml:space="preserve">. In: Neustein, A.; Patil, H. A. (Orgs.). Forensic Speaker Recognition: Law Enforcement and Counter-terrorism. </w:t>
      </w:r>
      <w:r w:rsidRPr="1C3FEADF">
        <w:rPr>
          <w:sz w:val="20"/>
          <w:szCs w:val="20"/>
        </w:rPr>
        <w:t>Nova York: Springer-Verlag New York Inc, p. 41-69, 2011.</w:t>
      </w:r>
    </w:p>
    <w:p w:rsidR="004F6518" w:rsidRPr="00B35C26" w:rsidRDefault="1C3FEADF" w:rsidP="1C3FEADF">
      <w:pPr>
        <w:spacing w:line="240" w:lineRule="auto"/>
        <w:rPr>
          <w:b/>
          <w:bCs/>
          <w:sz w:val="20"/>
          <w:szCs w:val="20"/>
        </w:rPr>
      </w:pPr>
      <w:r w:rsidRPr="1C3FEADF">
        <w:rPr>
          <w:sz w:val="20"/>
          <w:szCs w:val="20"/>
        </w:rPr>
        <w:t xml:space="preserve">GONÇALVES, C.S; PETRY, T. </w:t>
      </w:r>
      <w:r w:rsidRPr="1C3FEADF">
        <w:rPr>
          <w:i/>
          <w:iCs/>
          <w:sz w:val="20"/>
          <w:szCs w:val="20"/>
        </w:rPr>
        <w:t>Comparação Forense de Locutores no Âmbio da Perícia Oficial dos Estados</w:t>
      </w:r>
      <w:r w:rsidRPr="1C3FEADF">
        <w:rPr>
          <w:sz w:val="20"/>
          <w:szCs w:val="20"/>
        </w:rPr>
        <w:t>. In: REHDER, M.I; CAZUMBÁ, L.A.F; CAZUMBÁ, M.A (Orgs). Identificação de Falantes: uma Introdução à Fonoaudiologia Forense. 1ª ed. Rio de Janeiro: Revinter, 2015.</w:t>
      </w:r>
    </w:p>
    <w:p w:rsidR="004F6518" w:rsidRPr="00B35C26" w:rsidRDefault="1C3FEADF" w:rsidP="1C3FEADF">
      <w:pPr>
        <w:spacing w:line="240" w:lineRule="auto"/>
        <w:rPr>
          <w:b/>
          <w:bCs/>
          <w:sz w:val="20"/>
          <w:szCs w:val="20"/>
        </w:rPr>
      </w:pPr>
      <w:r w:rsidRPr="1C3FEADF">
        <w:rPr>
          <w:sz w:val="20"/>
          <w:szCs w:val="20"/>
        </w:rPr>
        <w:t xml:space="preserve">GRECO, L.G. </w:t>
      </w:r>
      <w:r w:rsidRPr="1C3FEADF">
        <w:rPr>
          <w:i/>
          <w:iCs/>
          <w:sz w:val="20"/>
          <w:szCs w:val="20"/>
        </w:rPr>
        <w:t>Perícias em Registros Audiovisuais e Fonética Forense</w:t>
      </w:r>
      <w:r w:rsidRPr="1C3FEADF">
        <w:rPr>
          <w:sz w:val="20"/>
          <w:szCs w:val="20"/>
        </w:rPr>
        <w:t>. In: VELHO, J.A; GEISER, G.C; ESPÍNDULA, A. Ciências Forenses: Uma introdução às principais áreas da Criminalística Moderna. 2 ed. Campinas: Editora Millennium, 2012.  p. 321-33.</w:t>
      </w:r>
    </w:p>
    <w:p w:rsidR="004F6518" w:rsidRPr="00B35C26" w:rsidRDefault="1C3FEADF" w:rsidP="1C3FEADF">
      <w:pPr>
        <w:spacing w:line="240" w:lineRule="auto"/>
        <w:rPr>
          <w:b/>
          <w:bCs/>
          <w:sz w:val="20"/>
          <w:szCs w:val="20"/>
        </w:rPr>
      </w:pPr>
      <w:r w:rsidRPr="1C3FEADF">
        <w:rPr>
          <w:sz w:val="20"/>
          <w:szCs w:val="20"/>
        </w:rPr>
        <w:t xml:space="preserve">PORTO, A.C; GONÇALVES, C.S. Proposta de Análise Perceptivo-Auditiva de Voz e Fala para Uso em Fonética Forense. </w:t>
      </w:r>
      <w:r w:rsidRPr="1C3FEADF">
        <w:rPr>
          <w:i/>
          <w:iCs/>
          <w:sz w:val="20"/>
          <w:szCs w:val="20"/>
        </w:rPr>
        <w:t>Rev. IGP</w:t>
      </w:r>
      <w:r w:rsidRPr="1C3FEADF">
        <w:rPr>
          <w:sz w:val="20"/>
          <w:szCs w:val="20"/>
        </w:rPr>
        <w:t>, 2007. Vol 3, (3): p. 23-5.</w:t>
      </w:r>
    </w:p>
    <w:p w:rsidR="004F6518" w:rsidRPr="00B35C26" w:rsidRDefault="1C3FEADF" w:rsidP="1C3FEADF">
      <w:pPr>
        <w:spacing w:line="240" w:lineRule="auto"/>
        <w:rPr>
          <w:b/>
          <w:bCs/>
          <w:sz w:val="20"/>
          <w:szCs w:val="20"/>
        </w:rPr>
      </w:pPr>
      <w:r w:rsidRPr="1C3FEADF">
        <w:rPr>
          <w:sz w:val="20"/>
          <w:szCs w:val="20"/>
        </w:rPr>
        <w:t xml:space="preserve">REHDER, M.I; CAZUMBÁ, L.A.F; SANCHES, A.P. </w:t>
      </w:r>
      <w:r w:rsidRPr="1C3FEADF">
        <w:rPr>
          <w:i/>
          <w:iCs/>
          <w:sz w:val="20"/>
          <w:szCs w:val="20"/>
        </w:rPr>
        <w:t>Investigação e Análise Perceptivo-Auditiva</w:t>
      </w:r>
      <w:r w:rsidRPr="1C3FEADF">
        <w:rPr>
          <w:sz w:val="20"/>
          <w:szCs w:val="20"/>
        </w:rPr>
        <w:t>. In: REHDER, M.I; CAZUMBÁ, L.A.F; CAZUMBÁ, M.A (Orgs). Identificação de Falantes: uma Introdução à Fonoaudiologia Forense. 1ª ed. Rio de Janeiro: Revinter, 2015.</w:t>
      </w:r>
    </w:p>
    <w:p w:rsidR="004F6518" w:rsidRPr="00B35C26" w:rsidRDefault="1C3FEADF" w:rsidP="1C3FEADF">
      <w:pPr>
        <w:spacing w:line="240" w:lineRule="auto"/>
        <w:rPr>
          <w:b/>
          <w:bCs/>
          <w:sz w:val="20"/>
          <w:szCs w:val="20"/>
        </w:rPr>
      </w:pPr>
      <w:r w:rsidRPr="1C3FEADF">
        <w:rPr>
          <w:sz w:val="20"/>
          <w:szCs w:val="20"/>
        </w:rPr>
        <w:t xml:space="preserve">REHDER, M.I; SANCHES, A.P. </w:t>
      </w:r>
      <w:r w:rsidRPr="1C3FEADF">
        <w:rPr>
          <w:i/>
          <w:iCs/>
          <w:sz w:val="20"/>
          <w:szCs w:val="20"/>
        </w:rPr>
        <w:t>Análise Acústica: Aplicação Forense</w:t>
      </w:r>
      <w:r w:rsidRPr="1C3FEADF">
        <w:rPr>
          <w:sz w:val="20"/>
          <w:szCs w:val="20"/>
        </w:rPr>
        <w:t>. In: REHDER, M.I; CAZUMBÁ, L.A.F; CAZUMBÁ, M.A (Orgs). Identificação de Falantes: uma Introdução à Fonoaudiologia Forense. 1ª ed. Rio de Janeiro: Revinter, 2015.</w:t>
      </w:r>
    </w:p>
    <w:p w:rsidR="004F6518" w:rsidRPr="009B7873" w:rsidRDefault="1C3FEADF" w:rsidP="1C3FEADF">
      <w:pPr>
        <w:spacing w:line="240" w:lineRule="auto"/>
        <w:rPr>
          <w:b/>
          <w:bCs/>
          <w:sz w:val="20"/>
          <w:szCs w:val="20"/>
          <w:lang w:val="en-US"/>
        </w:rPr>
      </w:pPr>
      <w:r w:rsidRPr="1C3FEADF">
        <w:rPr>
          <w:sz w:val="20"/>
          <w:szCs w:val="20"/>
          <w:lang w:val="en-US"/>
        </w:rPr>
        <w:t xml:space="preserve">ROSE, P. </w:t>
      </w:r>
      <w:r w:rsidRPr="1C3FEADF">
        <w:rPr>
          <w:i/>
          <w:iCs/>
          <w:sz w:val="20"/>
          <w:szCs w:val="20"/>
          <w:lang w:val="en-US"/>
        </w:rPr>
        <w:t>Forensic Speaker Identification</w:t>
      </w:r>
      <w:r w:rsidRPr="1C3FEADF">
        <w:rPr>
          <w:sz w:val="20"/>
          <w:szCs w:val="20"/>
          <w:lang w:val="en-US"/>
        </w:rPr>
        <w:t>. London: Taylor &amp; Francis; 2002. p. 364.</w:t>
      </w:r>
    </w:p>
    <w:p w:rsidR="005F4B0C" w:rsidRPr="00BD2918" w:rsidRDefault="005F4B0C" w:rsidP="004F6518">
      <w:pPr>
        <w:spacing w:line="240" w:lineRule="auto"/>
        <w:rPr>
          <w:sz w:val="20"/>
          <w:szCs w:val="22"/>
        </w:rPr>
      </w:pPr>
    </w:p>
    <w:sectPr w:rsidR="005F4B0C" w:rsidRPr="00BD2918" w:rsidSect="003037F9">
      <w:headerReference w:type="default" r:id="rId11"/>
      <w:footerReference w:type="default" r:id="rId12"/>
      <w:pgSz w:w="11906" w:h="16838" w:code="9"/>
      <w:pgMar w:top="1134" w:right="1134"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D4C" w:rsidRDefault="001A6D4C" w:rsidP="003752F7">
      <w:pPr>
        <w:spacing w:line="240" w:lineRule="auto"/>
      </w:pPr>
      <w:r>
        <w:separator/>
      </w:r>
    </w:p>
  </w:endnote>
  <w:endnote w:type="continuationSeparator" w:id="0">
    <w:p w:rsidR="001A6D4C" w:rsidRDefault="001A6D4C" w:rsidP="003752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94225"/>
      <w:docPartObj>
        <w:docPartGallery w:val="Page Numbers (Bottom of Page)"/>
        <w:docPartUnique/>
      </w:docPartObj>
    </w:sdtPr>
    <w:sdtEndPr>
      <w:rPr>
        <w:sz w:val="20"/>
        <w:szCs w:val="20"/>
      </w:rPr>
    </w:sdtEndPr>
    <w:sdtContent>
      <w:p w:rsidR="002A5A17" w:rsidRPr="003752F7" w:rsidRDefault="002A1797">
        <w:pPr>
          <w:pStyle w:val="Rodap"/>
          <w:jc w:val="right"/>
          <w:rPr>
            <w:sz w:val="20"/>
            <w:szCs w:val="20"/>
          </w:rPr>
        </w:pPr>
        <w:r w:rsidRPr="003752F7">
          <w:rPr>
            <w:sz w:val="20"/>
            <w:szCs w:val="20"/>
          </w:rPr>
          <w:fldChar w:fldCharType="begin"/>
        </w:r>
        <w:r w:rsidR="002A5A17" w:rsidRPr="003752F7">
          <w:rPr>
            <w:sz w:val="20"/>
            <w:szCs w:val="20"/>
          </w:rPr>
          <w:instrText xml:space="preserve"> PAGE   \* MERGEFORMAT </w:instrText>
        </w:r>
        <w:r w:rsidRPr="003752F7">
          <w:rPr>
            <w:sz w:val="20"/>
            <w:szCs w:val="20"/>
          </w:rPr>
          <w:fldChar w:fldCharType="separate"/>
        </w:r>
        <w:r w:rsidR="00607BE2">
          <w:rPr>
            <w:noProof/>
            <w:sz w:val="20"/>
            <w:szCs w:val="20"/>
          </w:rPr>
          <w:t>1</w:t>
        </w:r>
        <w:r w:rsidRPr="003752F7">
          <w:rPr>
            <w:sz w:val="20"/>
            <w:szCs w:val="20"/>
          </w:rPr>
          <w:fldChar w:fldCharType="end"/>
        </w:r>
      </w:p>
    </w:sdtContent>
  </w:sdt>
  <w:p w:rsidR="002A5A17" w:rsidRDefault="002A5A1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D4C" w:rsidRDefault="001A6D4C" w:rsidP="003752F7">
      <w:pPr>
        <w:spacing w:line="240" w:lineRule="auto"/>
      </w:pPr>
      <w:r>
        <w:separator/>
      </w:r>
    </w:p>
  </w:footnote>
  <w:footnote w:type="continuationSeparator" w:id="0">
    <w:p w:rsidR="001A6D4C" w:rsidRDefault="001A6D4C" w:rsidP="003752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A17" w:rsidRDefault="002A5A17" w:rsidP="003037F9">
    <w:pPr>
      <w:pStyle w:val="Cabealho"/>
      <w:jc w:val="center"/>
      <w:rPr>
        <w:bCs/>
        <w:sz w:val="22"/>
        <w:szCs w:val="22"/>
      </w:rPr>
    </w:pPr>
    <w:r w:rsidRPr="002F7B50">
      <w:rPr>
        <w:bCs/>
        <w:sz w:val="22"/>
        <w:szCs w:val="22"/>
      </w:rPr>
      <w:t>XXIV Congresso Nacional de Criminalística, VII Congresso Inte</w:t>
    </w:r>
    <w:r>
      <w:rPr>
        <w:bCs/>
        <w:sz w:val="22"/>
        <w:szCs w:val="22"/>
      </w:rPr>
      <w:t>rnacional de Perícia Criminal e</w:t>
    </w:r>
  </w:p>
  <w:p w:rsidR="002A5A17" w:rsidRPr="0056168D" w:rsidRDefault="002A5A17" w:rsidP="003037F9">
    <w:pPr>
      <w:pStyle w:val="Cabealho"/>
      <w:jc w:val="center"/>
      <w:rPr>
        <w:bCs/>
        <w:sz w:val="22"/>
        <w:szCs w:val="22"/>
      </w:rPr>
    </w:pPr>
    <w:r w:rsidRPr="002F7B50">
      <w:rPr>
        <w:bCs/>
        <w:sz w:val="22"/>
        <w:szCs w:val="22"/>
      </w:rPr>
      <w:t>XXIV Exposição de Tecnologias Aplicadas à Criminalística</w:t>
    </w:r>
  </w:p>
  <w:p w:rsidR="002A5A17" w:rsidRDefault="002A5A17" w:rsidP="003037F9">
    <w:pPr>
      <w:pStyle w:val="Cabealho"/>
      <w:jc w:val="center"/>
      <w:rPr>
        <w:bCs/>
        <w:i/>
        <w:sz w:val="20"/>
        <w:szCs w:val="20"/>
      </w:rPr>
    </w:pPr>
    <w:r w:rsidRPr="002F7B50">
      <w:rPr>
        <w:bCs/>
        <w:i/>
        <w:sz w:val="20"/>
        <w:szCs w:val="20"/>
      </w:rPr>
      <w:t>Florianópolis-SC, 02 a 06 de outubro de 2017</w:t>
    </w:r>
    <w:r w:rsidRPr="006762AA">
      <w:rPr>
        <w:bCs/>
        <w:i/>
        <w:sz w:val="20"/>
        <w:szCs w:val="20"/>
      </w:rPr>
      <w:t>.</w:t>
    </w:r>
  </w:p>
  <w:p w:rsidR="002A5A17" w:rsidRPr="006762AA" w:rsidRDefault="002A5A17" w:rsidP="003037F9">
    <w:pPr>
      <w:pStyle w:val="Cabealho"/>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DD5"/>
    <w:multiLevelType w:val="hybridMultilevel"/>
    <w:tmpl w:val="60180F50"/>
    <w:lvl w:ilvl="0" w:tplc="04160015">
      <w:start w:val="1"/>
      <w:numFmt w:val="upperLetter"/>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1">
    <w:nsid w:val="071A2208"/>
    <w:multiLevelType w:val="hybridMultilevel"/>
    <w:tmpl w:val="B67C4424"/>
    <w:lvl w:ilvl="0" w:tplc="3E6C301A">
      <w:start w:val="1"/>
      <w:numFmt w:val="decimal"/>
      <w:lvlText w:val="%1."/>
      <w:lvlJc w:val="left"/>
      <w:pPr>
        <w:ind w:left="2062" w:hanging="360"/>
      </w:pPr>
      <w:rPr>
        <w:rFonts w:hint="default"/>
      </w:rPr>
    </w:lvl>
    <w:lvl w:ilvl="1" w:tplc="04160019" w:tentative="1">
      <w:start w:val="1"/>
      <w:numFmt w:val="lowerLetter"/>
      <w:lvlText w:val="%2."/>
      <w:lvlJc w:val="left"/>
      <w:pPr>
        <w:ind w:left="1749" w:hanging="360"/>
      </w:pPr>
    </w:lvl>
    <w:lvl w:ilvl="2" w:tplc="0416001B" w:tentative="1">
      <w:start w:val="1"/>
      <w:numFmt w:val="lowerRoman"/>
      <w:lvlText w:val="%3."/>
      <w:lvlJc w:val="right"/>
      <w:pPr>
        <w:ind w:left="2469" w:hanging="180"/>
      </w:pPr>
    </w:lvl>
    <w:lvl w:ilvl="3" w:tplc="0416000F" w:tentative="1">
      <w:start w:val="1"/>
      <w:numFmt w:val="decimal"/>
      <w:lvlText w:val="%4."/>
      <w:lvlJc w:val="left"/>
      <w:pPr>
        <w:ind w:left="3189" w:hanging="360"/>
      </w:pPr>
    </w:lvl>
    <w:lvl w:ilvl="4" w:tplc="04160019" w:tentative="1">
      <w:start w:val="1"/>
      <w:numFmt w:val="lowerLetter"/>
      <w:lvlText w:val="%5."/>
      <w:lvlJc w:val="left"/>
      <w:pPr>
        <w:ind w:left="3909" w:hanging="360"/>
      </w:pPr>
    </w:lvl>
    <w:lvl w:ilvl="5" w:tplc="0416001B" w:tentative="1">
      <w:start w:val="1"/>
      <w:numFmt w:val="lowerRoman"/>
      <w:lvlText w:val="%6."/>
      <w:lvlJc w:val="right"/>
      <w:pPr>
        <w:ind w:left="4629" w:hanging="180"/>
      </w:pPr>
    </w:lvl>
    <w:lvl w:ilvl="6" w:tplc="0416000F" w:tentative="1">
      <w:start w:val="1"/>
      <w:numFmt w:val="decimal"/>
      <w:lvlText w:val="%7."/>
      <w:lvlJc w:val="left"/>
      <w:pPr>
        <w:ind w:left="5349" w:hanging="360"/>
      </w:pPr>
    </w:lvl>
    <w:lvl w:ilvl="7" w:tplc="04160019" w:tentative="1">
      <w:start w:val="1"/>
      <w:numFmt w:val="lowerLetter"/>
      <w:lvlText w:val="%8."/>
      <w:lvlJc w:val="left"/>
      <w:pPr>
        <w:ind w:left="6069" w:hanging="360"/>
      </w:pPr>
    </w:lvl>
    <w:lvl w:ilvl="8" w:tplc="0416001B" w:tentative="1">
      <w:start w:val="1"/>
      <w:numFmt w:val="lowerRoman"/>
      <w:lvlText w:val="%9."/>
      <w:lvlJc w:val="right"/>
      <w:pPr>
        <w:ind w:left="6789" w:hanging="180"/>
      </w:pPr>
    </w:lvl>
  </w:abstractNum>
  <w:abstractNum w:abstractNumId="2">
    <w:nsid w:val="14400B96"/>
    <w:multiLevelType w:val="hybridMultilevel"/>
    <w:tmpl w:val="6FF6AE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CE04A54"/>
    <w:multiLevelType w:val="hybridMultilevel"/>
    <w:tmpl w:val="CD8E67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5A15650"/>
    <w:multiLevelType w:val="hybridMultilevel"/>
    <w:tmpl w:val="24DA16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758E17E5"/>
    <w:multiLevelType w:val="hybridMultilevel"/>
    <w:tmpl w:val="9E40A65C"/>
    <w:lvl w:ilvl="0" w:tplc="8FC61A5C">
      <w:start w:val="1"/>
      <w:numFmt w:val="lowerLetter"/>
      <w:lvlText w:val="%1."/>
      <w:lvlJc w:val="left"/>
      <w:pPr>
        <w:ind w:left="1029" w:hanging="360"/>
      </w:pPr>
      <w:rPr>
        <w:rFonts w:hint="default"/>
      </w:rPr>
    </w:lvl>
    <w:lvl w:ilvl="1" w:tplc="04160019" w:tentative="1">
      <w:start w:val="1"/>
      <w:numFmt w:val="lowerLetter"/>
      <w:lvlText w:val="%2."/>
      <w:lvlJc w:val="left"/>
      <w:pPr>
        <w:ind w:left="1749" w:hanging="360"/>
      </w:pPr>
    </w:lvl>
    <w:lvl w:ilvl="2" w:tplc="0416001B" w:tentative="1">
      <w:start w:val="1"/>
      <w:numFmt w:val="lowerRoman"/>
      <w:lvlText w:val="%3."/>
      <w:lvlJc w:val="right"/>
      <w:pPr>
        <w:ind w:left="2469" w:hanging="180"/>
      </w:pPr>
    </w:lvl>
    <w:lvl w:ilvl="3" w:tplc="0416000F" w:tentative="1">
      <w:start w:val="1"/>
      <w:numFmt w:val="decimal"/>
      <w:lvlText w:val="%4."/>
      <w:lvlJc w:val="left"/>
      <w:pPr>
        <w:ind w:left="3189" w:hanging="360"/>
      </w:pPr>
    </w:lvl>
    <w:lvl w:ilvl="4" w:tplc="04160019" w:tentative="1">
      <w:start w:val="1"/>
      <w:numFmt w:val="lowerLetter"/>
      <w:lvlText w:val="%5."/>
      <w:lvlJc w:val="left"/>
      <w:pPr>
        <w:ind w:left="3909" w:hanging="360"/>
      </w:pPr>
    </w:lvl>
    <w:lvl w:ilvl="5" w:tplc="0416001B" w:tentative="1">
      <w:start w:val="1"/>
      <w:numFmt w:val="lowerRoman"/>
      <w:lvlText w:val="%6."/>
      <w:lvlJc w:val="right"/>
      <w:pPr>
        <w:ind w:left="4629" w:hanging="180"/>
      </w:pPr>
    </w:lvl>
    <w:lvl w:ilvl="6" w:tplc="0416000F" w:tentative="1">
      <w:start w:val="1"/>
      <w:numFmt w:val="decimal"/>
      <w:lvlText w:val="%7."/>
      <w:lvlJc w:val="left"/>
      <w:pPr>
        <w:ind w:left="5349" w:hanging="360"/>
      </w:pPr>
    </w:lvl>
    <w:lvl w:ilvl="7" w:tplc="04160019" w:tentative="1">
      <w:start w:val="1"/>
      <w:numFmt w:val="lowerLetter"/>
      <w:lvlText w:val="%8."/>
      <w:lvlJc w:val="left"/>
      <w:pPr>
        <w:ind w:left="6069" w:hanging="360"/>
      </w:pPr>
    </w:lvl>
    <w:lvl w:ilvl="8" w:tplc="0416001B" w:tentative="1">
      <w:start w:val="1"/>
      <w:numFmt w:val="lowerRoman"/>
      <w:lvlText w:val="%9."/>
      <w:lvlJc w:val="right"/>
      <w:pPr>
        <w:ind w:left="6789" w:hanging="180"/>
      </w:pPr>
    </w:lvl>
  </w:abstractNum>
  <w:num w:numId="1">
    <w:abstractNumId w:val="4"/>
  </w:num>
  <w:num w:numId="2">
    <w:abstractNumId w:val="2"/>
  </w:num>
  <w:num w:numId="3">
    <w:abstractNumId w:val="3"/>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86"/>
    <w:rsid w:val="000050E6"/>
    <w:rsid w:val="00007771"/>
    <w:rsid w:val="000110B8"/>
    <w:rsid w:val="000141D6"/>
    <w:rsid w:val="00014DC9"/>
    <w:rsid w:val="00026BC8"/>
    <w:rsid w:val="00042E0A"/>
    <w:rsid w:val="00043C0D"/>
    <w:rsid w:val="00050B17"/>
    <w:rsid w:val="00051A3B"/>
    <w:rsid w:val="00053737"/>
    <w:rsid w:val="00053FCD"/>
    <w:rsid w:val="00080175"/>
    <w:rsid w:val="00090BA6"/>
    <w:rsid w:val="000B38F5"/>
    <w:rsid w:val="000C67DF"/>
    <w:rsid w:val="000C6C07"/>
    <w:rsid w:val="000D5E1B"/>
    <w:rsid w:val="000D64F7"/>
    <w:rsid w:val="000E490F"/>
    <w:rsid w:val="000E62DA"/>
    <w:rsid w:val="000F053A"/>
    <w:rsid w:val="001052AA"/>
    <w:rsid w:val="00115C7E"/>
    <w:rsid w:val="0012394C"/>
    <w:rsid w:val="00123D94"/>
    <w:rsid w:val="001451DD"/>
    <w:rsid w:val="0015364A"/>
    <w:rsid w:val="001632E4"/>
    <w:rsid w:val="00167EE0"/>
    <w:rsid w:val="0018033F"/>
    <w:rsid w:val="001847FE"/>
    <w:rsid w:val="00196018"/>
    <w:rsid w:val="001978D2"/>
    <w:rsid w:val="001A2428"/>
    <w:rsid w:val="001A35F9"/>
    <w:rsid w:val="001A3F23"/>
    <w:rsid w:val="001A5588"/>
    <w:rsid w:val="001A6D4C"/>
    <w:rsid w:val="001A715A"/>
    <w:rsid w:val="001B3C69"/>
    <w:rsid w:val="001D2633"/>
    <w:rsid w:val="001D7643"/>
    <w:rsid w:val="001E1232"/>
    <w:rsid w:val="001E221F"/>
    <w:rsid w:val="001F5735"/>
    <w:rsid w:val="001F66AF"/>
    <w:rsid w:val="00244839"/>
    <w:rsid w:val="00246A30"/>
    <w:rsid w:val="00247455"/>
    <w:rsid w:val="00251C8D"/>
    <w:rsid w:val="00256A86"/>
    <w:rsid w:val="00262CE0"/>
    <w:rsid w:val="00272C6D"/>
    <w:rsid w:val="00273933"/>
    <w:rsid w:val="00281DFF"/>
    <w:rsid w:val="00293268"/>
    <w:rsid w:val="00293989"/>
    <w:rsid w:val="002A1797"/>
    <w:rsid w:val="002A1F55"/>
    <w:rsid w:val="002A5A17"/>
    <w:rsid w:val="002C1772"/>
    <w:rsid w:val="002C1DE6"/>
    <w:rsid w:val="002F46AF"/>
    <w:rsid w:val="002F7B50"/>
    <w:rsid w:val="003037F9"/>
    <w:rsid w:val="003212D0"/>
    <w:rsid w:val="0032165A"/>
    <w:rsid w:val="00324900"/>
    <w:rsid w:val="00334F29"/>
    <w:rsid w:val="0034706C"/>
    <w:rsid w:val="00353468"/>
    <w:rsid w:val="00357D88"/>
    <w:rsid w:val="00372A5D"/>
    <w:rsid w:val="003752F7"/>
    <w:rsid w:val="0037720B"/>
    <w:rsid w:val="00382120"/>
    <w:rsid w:val="003928AB"/>
    <w:rsid w:val="003B30F5"/>
    <w:rsid w:val="003C4C6D"/>
    <w:rsid w:val="003C60FA"/>
    <w:rsid w:val="003D455E"/>
    <w:rsid w:val="003E761E"/>
    <w:rsid w:val="003F0931"/>
    <w:rsid w:val="003F6A7C"/>
    <w:rsid w:val="00423161"/>
    <w:rsid w:val="00425FB9"/>
    <w:rsid w:val="004264DD"/>
    <w:rsid w:val="00435161"/>
    <w:rsid w:val="00442AB9"/>
    <w:rsid w:val="00460049"/>
    <w:rsid w:val="004600AE"/>
    <w:rsid w:val="00460CF2"/>
    <w:rsid w:val="00463EFF"/>
    <w:rsid w:val="00473BD3"/>
    <w:rsid w:val="00474F95"/>
    <w:rsid w:val="00486A9E"/>
    <w:rsid w:val="00491EA9"/>
    <w:rsid w:val="004A1F23"/>
    <w:rsid w:val="004B1A67"/>
    <w:rsid w:val="004D63F0"/>
    <w:rsid w:val="004D6CE8"/>
    <w:rsid w:val="004D7262"/>
    <w:rsid w:val="004E1122"/>
    <w:rsid w:val="004F21E1"/>
    <w:rsid w:val="004F474B"/>
    <w:rsid w:val="004F6518"/>
    <w:rsid w:val="0051281F"/>
    <w:rsid w:val="00514489"/>
    <w:rsid w:val="00516CB0"/>
    <w:rsid w:val="005342A4"/>
    <w:rsid w:val="00535C25"/>
    <w:rsid w:val="00541B84"/>
    <w:rsid w:val="00541C6C"/>
    <w:rsid w:val="00543A8C"/>
    <w:rsid w:val="0055601A"/>
    <w:rsid w:val="0056168D"/>
    <w:rsid w:val="00565420"/>
    <w:rsid w:val="00567BA9"/>
    <w:rsid w:val="00571EAF"/>
    <w:rsid w:val="0057510C"/>
    <w:rsid w:val="00582F38"/>
    <w:rsid w:val="0059109E"/>
    <w:rsid w:val="00595933"/>
    <w:rsid w:val="00596AD6"/>
    <w:rsid w:val="005A5F31"/>
    <w:rsid w:val="005A71F4"/>
    <w:rsid w:val="005B6216"/>
    <w:rsid w:val="005D3B1F"/>
    <w:rsid w:val="005E0339"/>
    <w:rsid w:val="005E75EF"/>
    <w:rsid w:val="005F4B0C"/>
    <w:rsid w:val="006028E9"/>
    <w:rsid w:val="006044B2"/>
    <w:rsid w:val="00606784"/>
    <w:rsid w:val="00607BE2"/>
    <w:rsid w:val="006347BF"/>
    <w:rsid w:val="006378FF"/>
    <w:rsid w:val="00647C59"/>
    <w:rsid w:val="006511A0"/>
    <w:rsid w:val="0065142A"/>
    <w:rsid w:val="00672251"/>
    <w:rsid w:val="006762AA"/>
    <w:rsid w:val="00677924"/>
    <w:rsid w:val="00690E86"/>
    <w:rsid w:val="006947F5"/>
    <w:rsid w:val="00696F59"/>
    <w:rsid w:val="006A2DC8"/>
    <w:rsid w:val="006A774A"/>
    <w:rsid w:val="006B0091"/>
    <w:rsid w:val="006B00A7"/>
    <w:rsid w:val="006B0CC4"/>
    <w:rsid w:val="006B17A2"/>
    <w:rsid w:val="006C74E3"/>
    <w:rsid w:val="006D18B3"/>
    <w:rsid w:val="006D26FC"/>
    <w:rsid w:val="006D4BC8"/>
    <w:rsid w:val="006D7858"/>
    <w:rsid w:val="006E3323"/>
    <w:rsid w:val="006E33F4"/>
    <w:rsid w:val="006E4FEA"/>
    <w:rsid w:val="006F43BE"/>
    <w:rsid w:val="007033D0"/>
    <w:rsid w:val="00704CD3"/>
    <w:rsid w:val="007148BD"/>
    <w:rsid w:val="00721EC6"/>
    <w:rsid w:val="007254A6"/>
    <w:rsid w:val="0072608C"/>
    <w:rsid w:val="00733C52"/>
    <w:rsid w:val="00734E3C"/>
    <w:rsid w:val="00746985"/>
    <w:rsid w:val="00755A52"/>
    <w:rsid w:val="0075779A"/>
    <w:rsid w:val="0078302E"/>
    <w:rsid w:val="00784AD1"/>
    <w:rsid w:val="00795D48"/>
    <w:rsid w:val="0079623C"/>
    <w:rsid w:val="007A109C"/>
    <w:rsid w:val="007C522E"/>
    <w:rsid w:val="007D0DBB"/>
    <w:rsid w:val="007E2E1A"/>
    <w:rsid w:val="0080108D"/>
    <w:rsid w:val="008039FA"/>
    <w:rsid w:val="00804B34"/>
    <w:rsid w:val="00811620"/>
    <w:rsid w:val="00813F18"/>
    <w:rsid w:val="00817160"/>
    <w:rsid w:val="00821CAD"/>
    <w:rsid w:val="00824730"/>
    <w:rsid w:val="00832DBB"/>
    <w:rsid w:val="00832F16"/>
    <w:rsid w:val="00835442"/>
    <w:rsid w:val="008572CF"/>
    <w:rsid w:val="00857E91"/>
    <w:rsid w:val="00860EDC"/>
    <w:rsid w:val="008949B2"/>
    <w:rsid w:val="008B4A3A"/>
    <w:rsid w:val="008B5B05"/>
    <w:rsid w:val="008D7AB4"/>
    <w:rsid w:val="008E2991"/>
    <w:rsid w:val="00910D22"/>
    <w:rsid w:val="00917E2F"/>
    <w:rsid w:val="009217B6"/>
    <w:rsid w:val="00941837"/>
    <w:rsid w:val="00950EFD"/>
    <w:rsid w:val="00973188"/>
    <w:rsid w:val="00987E5E"/>
    <w:rsid w:val="009A202B"/>
    <w:rsid w:val="009A5F55"/>
    <w:rsid w:val="009B7873"/>
    <w:rsid w:val="009C3761"/>
    <w:rsid w:val="009C4AC1"/>
    <w:rsid w:val="009E0435"/>
    <w:rsid w:val="009E4343"/>
    <w:rsid w:val="009E4AE7"/>
    <w:rsid w:val="009F3B49"/>
    <w:rsid w:val="009F4702"/>
    <w:rsid w:val="009F60BF"/>
    <w:rsid w:val="00A049AE"/>
    <w:rsid w:val="00A30721"/>
    <w:rsid w:val="00A37102"/>
    <w:rsid w:val="00A51761"/>
    <w:rsid w:val="00A5398B"/>
    <w:rsid w:val="00A6702D"/>
    <w:rsid w:val="00A81023"/>
    <w:rsid w:val="00A9079D"/>
    <w:rsid w:val="00A9585D"/>
    <w:rsid w:val="00AE4966"/>
    <w:rsid w:val="00AE583C"/>
    <w:rsid w:val="00AF0BDD"/>
    <w:rsid w:val="00B00282"/>
    <w:rsid w:val="00B008DD"/>
    <w:rsid w:val="00B21E36"/>
    <w:rsid w:val="00B2671D"/>
    <w:rsid w:val="00B30B26"/>
    <w:rsid w:val="00B32F1D"/>
    <w:rsid w:val="00B33D8A"/>
    <w:rsid w:val="00B462A0"/>
    <w:rsid w:val="00B50074"/>
    <w:rsid w:val="00B6061C"/>
    <w:rsid w:val="00B702A7"/>
    <w:rsid w:val="00B81B4D"/>
    <w:rsid w:val="00B91CA6"/>
    <w:rsid w:val="00BA23C0"/>
    <w:rsid w:val="00BA44CE"/>
    <w:rsid w:val="00BD2918"/>
    <w:rsid w:val="00BF6353"/>
    <w:rsid w:val="00C11825"/>
    <w:rsid w:val="00C1748C"/>
    <w:rsid w:val="00C26C44"/>
    <w:rsid w:val="00C62C4C"/>
    <w:rsid w:val="00C630D3"/>
    <w:rsid w:val="00C86D3A"/>
    <w:rsid w:val="00C92FC6"/>
    <w:rsid w:val="00C92FFA"/>
    <w:rsid w:val="00CA7450"/>
    <w:rsid w:val="00CB7598"/>
    <w:rsid w:val="00CC0AEB"/>
    <w:rsid w:val="00CC6B7D"/>
    <w:rsid w:val="00CC7593"/>
    <w:rsid w:val="00CE4C43"/>
    <w:rsid w:val="00CE6D58"/>
    <w:rsid w:val="00CF0B20"/>
    <w:rsid w:val="00CF3290"/>
    <w:rsid w:val="00CF5D2A"/>
    <w:rsid w:val="00D026FA"/>
    <w:rsid w:val="00D03AB2"/>
    <w:rsid w:val="00D07C04"/>
    <w:rsid w:val="00D31E9E"/>
    <w:rsid w:val="00D348C0"/>
    <w:rsid w:val="00D55EBC"/>
    <w:rsid w:val="00D6094C"/>
    <w:rsid w:val="00D66DB9"/>
    <w:rsid w:val="00D7559F"/>
    <w:rsid w:val="00D83186"/>
    <w:rsid w:val="00D85888"/>
    <w:rsid w:val="00DB272E"/>
    <w:rsid w:val="00DB64DF"/>
    <w:rsid w:val="00DC0E24"/>
    <w:rsid w:val="00DD690F"/>
    <w:rsid w:val="00DE2ADD"/>
    <w:rsid w:val="00DF7C5F"/>
    <w:rsid w:val="00E04EBE"/>
    <w:rsid w:val="00E30AA9"/>
    <w:rsid w:val="00E573A1"/>
    <w:rsid w:val="00E65FFC"/>
    <w:rsid w:val="00E752A6"/>
    <w:rsid w:val="00E97951"/>
    <w:rsid w:val="00E979DF"/>
    <w:rsid w:val="00EA3AA3"/>
    <w:rsid w:val="00EA47BE"/>
    <w:rsid w:val="00EA4AD4"/>
    <w:rsid w:val="00EC6C1D"/>
    <w:rsid w:val="00EE266E"/>
    <w:rsid w:val="00EE70EE"/>
    <w:rsid w:val="00EF0D5E"/>
    <w:rsid w:val="00F10ED3"/>
    <w:rsid w:val="00F11B6C"/>
    <w:rsid w:val="00F15E18"/>
    <w:rsid w:val="00F22F39"/>
    <w:rsid w:val="00F35221"/>
    <w:rsid w:val="00F363E3"/>
    <w:rsid w:val="00F42EBD"/>
    <w:rsid w:val="00F50A50"/>
    <w:rsid w:val="00F525A4"/>
    <w:rsid w:val="00F6162F"/>
    <w:rsid w:val="00F80A2A"/>
    <w:rsid w:val="00F90DCE"/>
    <w:rsid w:val="00FB34C0"/>
    <w:rsid w:val="00FB6D6C"/>
    <w:rsid w:val="00FC2E7B"/>
    <w:rsid w:val="00FC3308"/>
    <w:rsid w:val="00FC71F5"/>
    <w:rsid w:val="00FD150A"/>
    <w:rsid w:val="00FE0FA3"/>
    <w:rsid w:val="00FE594F"/>
    <w:rsid w:val="00FF0318"/>
    <w:rsid w:val="00FF2189"/>
    <w:rsid w:val="1C3FEA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unhideWhenUsed/>
    <w:qFormat/>
    <w:rsid w:val="004F6518"/>
    <w:pPr>
      <w:tabs>
        <w:tab w:val="left" w:pos="2268"/>
      </w:tabs>
      <w:ind w:firstLine="1701"/>
    </w:pPr>
    <w:rPr>
      <w:rFonts w:ascii="Arial" w:hAnsi="Arial"/>
      <w:szCs w:val="20"/>
    </w:rPr>
  </w:style>
  <w:style w:type="character" w:customStyle="1" w:styleId="CorpodetextoChar">
    <w:name w:val="Corpo de texto Char"/>
    <w:basedOn w:val="Fontepargpadro"/>
    <w:link w:val="Corpodetexto"/>
    <w:uiPriority w:val="99"/>
    <w:rsid w:val="004F6518"/>
    <w:rPr>
      <w:rFonts w:ascii="Arial" w:eastAsia="Times New Roman" w:hAnsi="Arial" w:cs="Times New Roman"/>
      <w:sz w:val="24"/>
      <w:szCs w:val="20"/>
    </w:rPr>
  </w:style>
  <w:style w:type="table" w:styleId="SombreamentoClaro">
    <w:name w:val="Light Shading"/>
    <w:basedOn w:val="Tabelanormal"/>
    <w:uiPriority w:val="60"/>
    <w:rsid w:val="0072608C"/>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inplacedisplayid2920140siteid0">
    <w:name w:val="inplacedisplayid2920140siteid0"/>
    <w:basedOn w:val="Fontepargpadro"/>
    <w:rsid w:val="000F05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unhideWhenUsed/>
    <w:qFormat/>
    <w:rsid w:val="004F6518"/>
    <w:pPr>
      <w:tabs>
        <w:tab w:val="left" w:pos="2268"/>
      </w:tabs>
      <w:ind w:firstLine="1701"/>
    </w:pPr>
    <w:rPr>
      <w:rFonts w:ascii="Arial" w:hAnsi="Arial"/>
      <w:szCs w:val="20"/>
    </w:rPr>
  </w:style>
  <w:style w:type="character" w:customStyle="1" w:styleId="CorpodetextoChar">
    <w:name w:val="Corpo de texto Char"/>
    <w:basedOn w:val="Fontepargpadro"/>
    <w:link w:val="Corpodetexto"/>
    <w:uiPriority w:val="99"/>
    <w:rsid w:val="004F6518"/>
    <w:rPr>
      <w:rFonts w:ascii="Arial" w:eastAsia="Times New Roman" w:hAnsi="Arial" w:cs="Times New Roman"/>
      <w:sz w:val="24"/>
      <w:szCs w:val="20"/>
    </w:rPr>
  </w:style>
  <w:style w:type="table" w:styleId="SombreamentoClaro">
    <w:name w:val="Light Shading"/>
    <w:basedOn w:val="Tabelanormal"/>
    <w:uiPriority w:val="60"/>
    <w:rsid w:val="0072608C"/>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inplacedisplayid2920140siteid0">
    <w:name w:val="inplacedisplayid2920140siteid0"/>
    <w:basedOn w:val="Fontepargpadro"/>
    <w:rsid w:val="000F0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4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86BF3-5999-4724-BCFC-2E1C62BE4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1577</Words>
  <Characters>8519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c:creator>
  <cp:lastModifiedBy>Attitude 3</cp:lastModifiedBy>
  <cp:revision>2</cp:revision>
  <cp:lastPrinted>2013-03-17T11:48:00Z</cp:lastPrinted>
  <dcterms:created xsi:type="dcterms:W3CDTF">2017-07-19T20:41:00Z</dcterms:created>
  <dcterms:modified xsi:type="dcterms:W3CDTF">2017-07-19T20:41:00Z</dcterms:modified>
</cp:coreProperties>
</file>