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8A" w:rsidRPr="002B0CB7" w:rsidRDefault="0006128A" w:rsidP="0006128A">
      <w:pPr>
        <w:spacing w:line="240" w:lineRule="auto"/>
        <w:jc w:val="center"/>
        <w:rPr>
          <w:b/>
        </w:rPr>
      </w:pPr>
      <w:r>
        <w:rPr>
          <w:b/>
        </w:rPr>
        <w:t>Ó</w:t>
      </w:r>
      <w:r w:rsidRPr="002B0CB7">
        <w:rPr>
          <w:b/>
        </w:rPr>
        <w:t>bitos de periquitos relacionados à queima de fogos de artifício: relato de caso.</w:t>
      </w:r>
    </w:p>
    <w:p w:rsidR="006B0CC4" w:rsidRPr="00FC71F5" w:rsidRDefault="006B0CC4" w:rsidP="00824730">
      <w:pPr>
        <w:spacing w:line="240" w:lineRule="auto"/>
        <w:jc w:val="center"/>
      </w:pPr>
      <w:bookmarkStart w:id="0" w:name="_GoBack"/>
      <w:bookmarkEnd w:id="0"/>
    </w:p>
    <w:p w:rsidR="001D106F" w:rsidRDefault="00F719FD" w:rsidP="001134AD">
      <w:pPr>
        <w:spacing w:line="240" w:lineRule="auto"/>
        <w:ind w:firstLine="708"/>
        <w:rPr>
          <w:noProof/>
          <w:sz w:val="22"/>
          <w:szCs w:val="22"/>
        </w:rPr>
      </w:pPr>
      <w:r>
        <w:rPr>
          <w:noProof/>
          <w:sz w:val="22"/>
          <w:szCs w:val="22"/>
        </w:rPr>
        <w:t>Em</w:t>
      </w:r>
      <w:r w:rsidRPr="00F719FD">
        <w:rPr>
          <w:noProof/>
          <w:sz w:val="22"/>
          <w:szCs w:val="22"/>
        </w:rPr>
        <w:t xml:space="preserve"> uma das maiores celebrações religiosas do Brasil</w:t>
      </w:r>
      <w:r>
        <w:rPr>
          <w:noProof/>
          <w:sz w:val="22"/>
          <w:szCs w:val="22"/>
        </w:rPr>
        <w:t>,</w:t>
      </w:r>
      <w:r w:rsidRPr="00F719FD">
        <w:rPr>
          <w:noProof/>
          <w:sz w:val="22"/>
          <w:szCs w:val="22"/>
        </w:rPr>
        <w:t xml:space="preserve"> </w:t>
      </w:r>
      <w:r>
        <w:rPr>
          <w:noProof/>
          <w:sz w:val="22"/>
          <w:szCs w:val="22"/>
        </w:rPr>
        <w:t>o</w:t>
      </w:r>
      <w:r w:rsidRPr="00F719FD">
        <w:rPr>
          <w:noProof/>
          <w:sz w:val="22"/>
          <w:szCs w:val="22"/>
        </w:rPr>
        <w:t xml:space="preserve"> fim dos festejos culmina </w:t>
      </w:r>
      <w:r>
        <w:rPr>
          <w:noProof/>
          <w:sz w:val="22"/>
          <w:szCs w:val="22"/>
        </w:rPr>
        <w:t>em</w:t>
      </w:r>
      <w:r w:rsidRPr="00F719FD">
        <w:rPr>
          <w:noProof/>
          <w:sz w:val="22"/>
          <w:szCs w:val="22"/>
        </w:rPr>
        <w:t xml:space="preserve"> tradicional queima de fogos de artifício</w:t>
      </w:r>
      <w:r>
        <w:rPr>
          <w:noProof/>
          <w:sz w:val="22"/>
          <w:szCs w:val="22"/>
        </w:rPr>
        <w:t xml:space="preserve"> que</w:t>
      </w:r>
      <w:r w:rsidRPr="00F719FD">
        <w:rPr>
          <w:noProof/>
          <w:sz w:val="22"/>
          <w:szCs w:val="22"/>
        </w:rPr>
        <w:t xml:space="preserve"> vem sendo criticada e acusada da mortalidade de algumas aves que se abrigam nas árvores próximas. Dada a relevância do caso, que envolve uma importante manifestação cultural do Estado do Pará e um embate entre a questão religiosa e a ambiental, o objetivo deste trabalho foi apresentar os resultados obtidos a partir de uma Perícia Criminal Oficial ocorrida durante a</w:t>
      </w:r>
      <w:r w:rsidR="007E7FE8">
        <w:rPr>
          <w:noProof/>
          <w:sz w:val="22"/>
          <w:szCs w:val="22"/>
        </w:rPr>
        <w:t xml:space="preserve"> queima de fogos da festividade</w:t>
      </w:r>
      <w:r w:rsidRPr="00F719FD">
        <w:rPr>
          <w:noProof/>
          <w:sz w:val="22"/>
          <w:szCs w:val="22"/>
        </w:rPr>
        <w:t xml:space="preserve"> do Círio de Nazaré do ano de 2013, que visava o monitoramento e aferição de mortalidades decorrentes do show pirotécnico questionado e solicitado pelo Ministério Público do Estado do Pará.</w:t>
      </w:r>
    </w:p>
    <w:p w:rsidR="00F719FD" w:rsidRPr="00F719FD" w:rsidRDefault="008A60C7" w:rsidP="00F719FD">
      <w:pPr>
        <w:spacing w:line="240" w:lineRule="auto"/>
        <w:rPr>
          <w:noProof/>
          <w:sz w:val="22"/>
          <w:szCs w:val="22"/>
        </w:rPr>
      </w:pPr>
      <w:r>
        <w:rPr>
          <w:sz w:val="22"/>
          <w:szCs w:val="22"/>
        </w:rPr>
        <w:tab/>
      </w:r>
      <w:r w:rsidR="00F719FD" w:rsidRPr="00F719FD">
        <w:rPr>
          <w:noProof/>
          <w:sz w:val="22"/>
          <w:szCs w:val="22"/>
        </w:rPr>
        <w:t xml:space="preserve">Durante uma explosão, em função da quantidade de energia liberada para o meio envolvente do explosivo, que gera um aumento da pressão pela quantidade de gases em expansão, far-se-á sempre acompanhada de uma “onda de choque” que viaja acima da velocidade do som. É esta onda de choque que, com sua frente de elevada pressão, confere à detonação um enorme poder de ruptura. Os efeitos destas ondas de pressão que lesionam os organismos podem ser classificados de primários a quartenários. Efeitos Primários são lesões provocadas pela ação direta das ondas de choque no organismo. Efeitos Secundários são lesões resultantes de estilhaços, objetos ou materiais projetados às vítimas. Efeitos Terciários são lesões por explosivos que ocorrem quando as vítimas são projetadas pelo ar e chocam-se com outros objetos. Efeitos Quaternários são queimaduras decorrentes dos efeitos térmicos das detonações. </w:t>
      </w:r>
    </w:p>
    <w:p w:rsidR="00F719FD" w:rsidRPr="00F719FD" w:rsidRDefault="00F719FD" w:rsidP="00D4614A">
      <w:pPr>
        <w:spacing w:line="240" w:lineRule="auto"/>
        <w:ind w:firstLine="708"/>
        <w:rPr>
          <w:sz w:val="22"/>
          <w:szCs w:val="22"/>
          <w:shd w:val="clear" w:color="auto" w:fill="FFFFFF"/>
        </w:rPr>
      </w:pPr>
      <w:r w:rsidRPr="00F719FD">
        <w:rPr>
          <w:sz w:val="22"/>
          <w:szCs w:val="22"/>
          <w:shd w:val="clear" w:color="auto" w:fill="FFFFFF"/>
        </w:rPr>
        <w:t xml:space="preserve">As consequências das ondas de choque são comumente estudadas e conhecidas em humanos, onde seus efeitos podem estar associados a edemas e hemorragias pulmonares, cardíacas, rupturas de órgãos e vasos, além de edemas e hemorragias cerebrais. Os efeitos em animais são similares, com o agravante de que o corpo humano possui massa corporal de maior resistência, se comparado com espécies de pequeno porte. Conforme estudado, as ondas de choque atuam com maior intensidade em tecidos de menor densidade, sobretudo em órgãos que contem ar e líquidos. As aves, em especial, possuem características anatômicas diferenciadas em seu sistema respiratório. Os pulmões são auxiliados por um sistema de sacos aéreos e ossos pneumáticos, fato que pode potencializar os efeitos de lesões por explosivos nestes órgãos. </w:t>
      </w:r>
    </w:p>
    <w:p w:rsidR="0091555F" w:rsidRPr="0091555F" w:rsidRDefault="0091555F" w:rsidP="0091555F">
      <w:pPr>
        <w:spacing w:line="240" w:lineRule="auto"/>
        <w:ind w:firstLine="708"/>
        <w:rPr>
          <w:noProof/>
          <w:sz w:val="22"/>
        </w:rPr>
      </w:pPr>
      <w:r>
        <w:rPr>
          <w:noProof/>
          <w:sz w:val="22"/>
        </w:rPr>
        <w:t xml:space="preserve">Durante </w:t>
      </w:r>
      <w:r w:rsidRPr="0091555F">
        <w:rPr>
          <w:noProof/>
          <w:sz w:val="22"/>
        </w:rPr>
        <w:t>a deflagração dos fogos de artifício houve a produção de explosões, luzes, ruído intenso e fumaça no ar.</w:t>
      </w:r>
      <w:r>
        <w:rPr>
          <w:noProof/>
          <w:sz w:val="22"/>
        </w:rPr>
        <w:t xml:space="preserve"> </w:t>
      </w:r>
      <w:r w:rsidRPr="0091555F">
        <w:rPr>
          <w:noProof/>
          <w:sz w:val="22"/>
        </w:rPr>
        <w:t>Imediatamente à primeira explosão ocorreu uma debandada das aves que se abrigavam na árvore e, a cada estouro, voavam descontroladas em todas as direções, chilreando em alto volume sonoro, demonstrando uma condição extrema de estresse.</w:t>
      </w:r>
      <w:r>
        <w:rPr>
          <w:noProof/>
          <w:sz w:val="22"/>
        </w:rPr>
        <w:t xml:space="preserve"> </w:t>
      </w:r>
      <w:r w:rsidRPr="0091555F">
        <w:rPr>
          <w:noProof/>
          <w:sz w:val="22"/>
        </w:rPr>
        <w:t>Após os dez minutos de explosões, as aves começaram a retornar aos galhos da árvore, mas ainda continuaram a chilrear em alto volume sonoro, visivelmente estressad</w:t>
      </w:r>
      <w:r>
        <w:rPr>
          <w:noProof/>
          <w:sz w:val="22"/>
        </w:rPr>
        <w:t>as</w:t>
      </w:r>
      <w:r w:rsidRPr="0091555F">
        <w:rPr>
          <w:noProof/>
          <w:sz w:val="22"/>
        </w:rPr>
        <w:t>, mesmo após uma hora de finalizada a queima dos fogos.</w:t>
      </w:r>
    </w:p>
    <w:p w:rsidR="0091555F" w:rsidRPr="0091555F" w:rsidRDefault="0091555F" w:rsidP="0091555F">
      <w:pPr>
        <w:spacing w:line="240" w:lineRule="auto"/>
        <w:ind w:firstLine="708"/>
        <w:rPr>
          <w:noProof/>
          <w:sz w:val="22"/>
        </w:rPr>
      </w:pPr>
      <w:r w:rsidRPr="0091555F">
        <w:rPr>
          <w:noProof/>
          <w:sz w:val="22"/>
        </w:rPr>
        <w:t>Foi possível resgatar 05 (cinco) aves feridas e 04 (quatro) que vieram à óbito. O número real de animais fatalmente ou clinicamente afetados pode ter sido maior, uma vez que só foram resgatadas as aves encontradas nas vias públicas e outras aves podem ter caído fora do alcance das equipes de resgate.</w:t>
      </w:r>
    </w:p>
    <w:p w:rsidR="0091555F" w:rsidRPr="0091555F" w:rsidRDefault="0091555F" w:rsidP="0091555F">
      <w:pPr>
        <w:spacing w:line="240" w:lineRule="auto"/>
        <w:rPr>
          <w:noProof/>
          <w:sz w:val="22"/>
        </w:rPr>
      </w:pPr>
      <w:r w:rsidRPr="0091555F">
        <w:rPr>
          <w:noProof/>
          <w:sz w:val="22"/>
        </w:rPr>
        <w:t>Os animais vivos foram encaminhados para cuidados médicos veterinários no Museu Paraense Emílio Goeldi e as aves mortas foram necropsiadas no Centro de Perícias Científicas “Renato Chaves”.</w:t>
      </w:r>
    </w:p>
    <w:p w:rsidR="00F80578" w:rsidRPr="00F80578" w:rsidRDefault="00F80578" w:rsidP="00F80578">
      <w:pPr>
        <w:spacing w:line="240" w:lineRule="auto"/>
        <w:ind w:firstLine="708"/>
        <w:rPr>
          <w:noProof/>
          <w:sz w:val="22"/>
          <w:szCs w:val="22"/>
        </w:rPr>
      </w:pPr>
      <w:r w:rsidRPr="00F80578">
        <w:rPr>
          <w:noProof/>
          <w:sz w:val="22"/>
        </w:rPr>
        <w:t>Ao exame dos animais</w:t>
      </w:r>
      <w:r>
        <w:rPr>
          <w:noProof/>
          <w:sz w:val="22"/>
        </w:rPr>
        <w:t xml:space="preserve"> durante a necropsia</w:t>
      </w:r>
      <w:r w:rsidRPr="00F80578">
        <w:rPr>
          <w:noProof/>
          <w:sz w:val="22"/>
        </w:rPr>
        <w:t>, v</w:t>
      </w:r>
      <w:r w:rsidR="00387D61" w:rsidRPr="00F80578">
        <w:rPr>
          <w:noProof/>
          <w:sz w:val="22"/>
        </w:rPr>
        <w:t xml:space="preserve">erificou-se tratar de animais da ordem dos Psittaciformes, da família </w:t>
      </w:r>
      <w:r w:rsidR="00387D61" w:rsidRPr="00F80578">
        <w:rPr>
          <w:noProof/>
          <w:sz w:val="22"/>
          <w:szCs w:val="22"/>
        </w:rPr>
        <w:t xml:space="preserve">Psittacidae, da espécie </w:t>
      </w:r>
      <w:proofErr w:type="spellStart"/>
      <w:r w:rsidR="00387D61" w:rsidRPr="00F80578">
        <w:rPr>
          <w:i/>
          <w:iCs/>
          <w:color w:val="222222"/>
          <w:sz w:val="22"/>
          <w:szCs w:val="22"/>
        </w:rPr>
        <w:t>Brotogeris</w:t>
      </w:r>
      <w:proofErr w:type="spellEnd"/>
      <w:r w:rsidR="00387D61" w:rsidRPr="00F80578">
        <w:rPr>
          <w:i/>
          <w:iCs/>
          <w:color w:val="222222"/>
          <w:sz w:val="22"/>
          <w:szCs w:val="22"/>
        </w:rPr>
        <w:t xml:space="preserve"> </w:t>
      </w:r>
      <w:proofErr w:type="spellStart"/>
      <w:r w:rsidR="00387D61" w:rsidRPr="00F80578">
        <w:rPr>
          <w:i/>
          <w:iCs/>
          <w:color w:val="222222"/>
          <w:sz w:val="22"/>
          <w:szCs w:val="22"/>
        </w:rPr>
        <w:t>versicolurus</w:t>
      </w:r>
      <w:proofErr w:type="spellEnd"/>
      <w:r w:rsidR="00387D61" w:rsidRPr="00F80578">
        <w:rPr>
          <w:i/>
          <w:iCs/>
          <w:color w:val="222222"/>
          <w:sz w:val="22"/>
          <w:szCs w:val="22"/>
        </w:rPr>
        <w:t xml:space="preserve">. </w:t>
      </w:r>
      <w:r w:rsidR="00387D61" w:rsidRPr="00F80578">
        <w:rPr>
          <w:iCs/>
          <w:color w:val="222222"/>
          <w:sz w:val="22"/>
          <w:szCs w:val="22"/>
        </w:rPr>
        <w:t xml:space="preserve">Também conhecidos vulgarmente no Estado do Pará como </w:t>
      </w:r>
      <w:r>
        <w:rPr>
          <w:iCs/>
          <w:color w:val="222222"/>
          <w:sz w:val="22"/>
          <w:szCs w:val="22"/>
        </w:rPr>
        <w:t>periquito-estrela</w:t>
      </w:r>
      <w:r w:rsidR="00387D61" w:rsidRPr="00F80578">
        <w:rPr>
          <w:iCs/>
          <w:color w:val="222222"/>
          <w:sz w:val="22"/>
          <w:szCs w:val="22"/>
        </w:rPr>
        <w:t xml:space="preserve"> (Figura 01)</w:t>
      </w:r>
      <w:r w:rsidR="007C3640">
        <w:rPr>
          <w:iCs/>
          <w:color w:val="222222"/>
          <w:sz w:val="22"/>
          <w:szCs w:val="22"/>
        </w:rPr>
        <w:t>.</w:t>
      </w:r>
      <w:r w:rsidRPr="00F80578">
        <w:rPr>
          <w:iCs/>
          <w:color w:val="222222"/>
          <w:sz w:val="22"/>
          <w:szCs w:val="22"/>
        </w:rPr>
        <w:t xml:space="preserve"> </w:t>
      </w:r>
      <w:proofErr w:type="gramStart"/>
      <w:r w:rsidR="007C3640">
        <w:rPr>
          <w:iCs/>
          <w:color w:val="222222"/>
          <w:sz w:val="22"/>
          <w:szCs w:val="22"/>
        </w:rPr>
        <w:t>t</w:t>
      </w:r>
      <w:r w:rsidRPr="00F80578">
        <w:rPr>
          <w:noProof/>
          <w:sz w:val="22"/>
          <w:szCs w:val="22"/>
        </w:rPr>
        <w:t>odas</w:t>
      </w:r>
      <w:proofErr w:type="gramEnd"/>
      <w:r w:rsidRPr="00F80578">
        <w:rPr>
          <w:noProof/>
          <w:sz w:val="22"/>
          <w:szCs w:val="22"/>
        </w:rPr>
        <w:t xml:space="preserve"> as amostras examinadas apresentaram os mesmos achados de necrópsia e serão detalhados de maneira coletiva.</w:t>
      </w:r>
    </w:p>
    <w:p w:rsidR="00F80578" w:rsidRDefault="00F80578" w:rsidP="00F80578">
      <w:pPr>
        <w:spacing w:line="240" w:lineRule="auto"/>
        <w:ind w:firstLine="708"/>
        <w:rPr>
          <w:noProof/>
          <w:sz w:val="22"/>
          <w:szCs w:val="22"/>
        </w:rPr>
      </w:pPr>
      <w:r w:rsidRPr="00F80578">
        <w:rPr>
          <w:noProof/>
          <w:sz w:val="22"/>
          <w:szCs w:val="22"/>
        </w:rPr>
        <w:t>Examinando-se externamente, não se verificou sinais de fraturas ou lesões traumáticas, escoriações ou depenamentos. Havia epistaxe, que é a presença de sangue nas narinas.</w:t>
      </w:r>
      <w:r>
        <w:rPr>
          <w:noProof/>
          <w:sz w:val="22"/>
          <w:szCs w:val="22"/>
        </w:rPr>
        <w:t xml:space="preserve"> </w:t>
      </w:r>
      <w:r w:rsidRPr="00F80578">
        <w:rPr>
          <w:noProof/>
          <w:sz w:val="22"/>
          <w:szCs w:val="22"/>
        </w:rPr>
        <w:t>Macroscopicamente foi possível identificar que</w:t>
      </w:r>
      <w:r>
        <w:rPr>
          <w:noProof/>
          <w:sz w:val="22"/>
          <w:szCs w:val="22"/>
        </w:rPr>
        <w:t xml:space="preserve">  </w:t>
      </w:r>
      <w:r w:rsidR="0047225A">
        <w:rPr>
          <w:noProof/>
          <w:sz w:val="22"/>
          <w:szCs w:val="22"/>
        </w:rPr>
        <w:t xml:space="preserve">internamente </w:t>
      </w:r>
      <w:r>
        <w:rPr>
          <w:noProof/>
          <w:sz w:val="22"/>
          <w:szCs w:val="22"/>
        </w:rPr>
        <w:t>n</w:t>
      </w:r>
      <w:r w:rsidRPr="00F80578">
        <w:rPr>
          <w:noProof/>
          <w:sz w:val="22"/>
          <w:szCs w:val="22"/>
        </w:rPr>
        <w:t>ão havia sinais característicos de traumas como fraturas, edemas, hematomas ou infiltrados hemorrágicos na face interna da epiderme e m</w:t>
      </w:r>
      <w:r w:rsidR="00BF452C">
        <w:rPr>
          <w:noProof/>
          <w:sz w:val="22"/>
          <w:szCs w:val="22"/>
        </w:rPr>
        <w:t>usculatura peitoral e abdominal.</w:t>
      </w:r>
      <w:r w:rsidRPr="00F80578">
        <w:rPr>
          <w:noProof/>
          <w:sz w:val="22"/>
          <w:szCs w:val="22"/>
        </w:rPr>
        <w:t xml:space="preserve"> </w:t>
      </w:r>
    </w:p>
    <w:p w:rsidR="00BF452C" w:rsidRPr="00077BFA" w:rsidRDefault="0047225A" w:rsidP="00BF452C">
      <w:pPr>
        <w:spacing w:line="240" w:lineRule="auto"/>
        <w:ind w:firstLine="708"/>
        <w:rPr>
          <w:noProof/>
        </w:rPr>
      </w:pPr>
      <w:r>
        <w:rPr>
          <w:noProof/>
        </w:rPr>
        <w:t>Entre os achados de necropsia h</w:t>
      </w:r>
      <w:r w:rsidR="00BF452C" w:rsidRPr="00077BFA">
        <w:rPr>
          <w:noProof/>
        </w:rPr>
        <w:t>avia sufusões hemorrágicas, presença de coágulos sanguíneos na cavidade torácica e abdominal, com lesões em estruturas pericárdicas e rupturas de vasos sanguíneos e lobos pulmonares, além de hemotórax e hemopericárdio (Figura 0</w:t>
      </w:r>
      <w:r w:rsidR="003F3717">
        <w:rPr>
          <w:noProof/>
        </w:rPr>
        <w:t>2</w:t>
      </w:r>
      <w:r w:rsidR="00BF452C" w:rsidRPr="00077BFA">
        <w:rPr>
          <w:noProof/>
        </w:rPr>
        <w:t>)</w:t>
      </w:r>
      <w:r w:rsidR="00BF452C">
        <w:rPr>
          <w:noProof/>
        </w:rPr>
        <w:t>. Observaram-se, ainda, sufusões hemorrágicas no inglúvio e na região encefálica. (Figura</w:t>
      </w:r>
      <w:r w:rsidR="00661853">
        <w:rPr>
          <w:noProof/>
        </w:rPr>
        <w:t xml:space="preserve"> 03</w:t>
      </w:r>
      <w:r w:rsidR="00BF452C">
        <w:rPr>
          <w:noProof/>
        </w:rPr>
        <w:t>)</w:t>
      </w:r>
    </w:p>
    <w:p w:rsidR="00BF452C" w:rsidRPr="00F80578" w:rsidRDefault="00BF452C" w:rsidP="00F80578">
      <w:pPr>
        <w:spacing w:line="240" w:lineRule="auto"/>
        <w:ind w:firstLine="708"/>
        <w:rPr>
          <w:noProof/>
          <w:sz w:val="22"/>
          <w:szCs w:val="22"/>
        </w:rPr>
      </w:pPr>
    </w:p>
    <w:p w:rsidR="00387D61" w:rsidRPr="00F80578" w:rsidRDefault="00387D61" w:rsidP="00F80578">
      <w:pPr>
        <w:spacing w:line="240" w:lineRule="auto"/>
        <w:ind w:firstLine="708"/>
        <w:rPr>
          <w:iCs/>
          <w:color w:val="222222"/>
          <w:sz w:val="22"/>
        </w:rPr>
      </w:pPr>
    </w:p>
    <w:p w:rsidR="003F3717" w:rsidRDefault="003F3717" w:rsidP="003F3717">
      <w:pPr>
        <w:jc w:val="left"/>
        <w:rPr>
          <w:iCs/>
          <w:color w:val="222222"/>
        </w:rPr>
      </w:pPr>
      <w:r>
        <w:rPr>
          <w:noProof/>
        </w:rPr>
        <w:lastRenderedPageBreak/>
        <w:drawing>
          <wp:inline distT="0" distB="0" distL="0" distR="0" wp14:anchorId="120876FD" wp14:editId="69C9886C">
            <wp:extent cx="1920089" cy="1440000"/>
            <wp:effectExtent l="0" t="0" r="4445" b="8255"/>
            <wp:docPr id="1" name="Imagem 1" descr="DSC0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69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089" cy="1440000"/>
                    </a:xfrm>
                    <a:prstGeom prst="rect">
                      <a:avLst/>
                    </a:prstGeom>
                    <a:noFill/>
                    <a:ln>
                      <a:noFill/>
                    </a:ln>
                  </pic:spPr>
                </pic:pic>
              </a:graphicData>
            </a:graphic>
          </wp:inline>
        </w:drawing>
      </w:r>
      <w:r w:rsidR="007256A3">
        <w:rPr>
          <w:iCs/>
          <w:color w:val="222222"/>
        </w:rPr>
        <w:t xml:space="preserve">     </w:t>
      </w:r>
      <w:r w:rsidR="00661853">
        <w:rPr>
          <w:rFonts w:ascii="Calibri" w:hAnsi="Calibri" w:cs="Arial"/>
          <w:b/>
          <w:noProof/>
          <w:sz w:val="20"/>
          <w:szCs w:val="20"/>
        </w:rPr>
        <w:drawing>
          <wp:inline distT="0" distB="0" distL="0" distR="0" wp14:anchorId="515EDE9E" wp14:editId="3F8F3C26">
            <wp:extent cx="1920089" cy="1440000"/>
            <wp:effectExtent l="0" t="0" r="4445" b="8255"/>
            <wp:docPr id="2" name="Imagem 2" descr="DSC_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_13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089" cy="1440000"/>
                    </a:xfrm>
                    <a:prstGeom prst="rect">
                      <a:avLst/>
                    </a:prstGeom>
                    <a:noFill/>
                    <a:ln>
                      <a:noFill/>
                    </a:ln>
                  </pic:spPr>
                </pic:pic>
              </a:graphicData>
            </a:graphic>
          </wp:inline>
        </w:drawing>
      </w:r>
      <w:r w:rsidR="007256A3">
        <w:rPr>
          <w:iCs/>
          <w:color w:val="222222"/>
        </w:rPr>
        <w:t xml:space="preserve">    </w:t>
      </w:r>
      <w:r w:rsidR="00661853">
        <w:rPr>
          <w:rFonts w:ascii="Calibri" w:hAnsi="Calibri" w:cs="Arial"/>
          <w:b/>
          <w:noProof/>
          <w:sz w:val="20"/>
          <w:szCs w:val="20"/>
        </w:rPr>
        <w:drawing>
          <wp:inline distT="0" distB="0" distL="0" distR="0" wp14:anchorId="0E217604" wp14:editId="34B939D7">
            <wp:extent cx="1920089" cy="1440000"/>
            <wp:effectExtent l="0" t="0" r="4445" b="8255"/>
            <wp:docPr id="10" name="Imagem 10" descr="DSC_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_13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089" cy="1440000"/>
                    </a:xfrm>
                    <a:prstGeom prst="rect">
                      <a:avLst/>
                    </a:prstGeom>
                    <a:noFill/>
                    <a:ln>
                      <a:noFill/>
                    </a:ln>
                  </pic:spPr>
                </pic:pic>
              </a:graphicData>
            </a:graphic>
          </wp:inline>
        </w:drawing>
      </w:r>
    </w:p>
    <w:p w:rsidR="003F3717" w:rsidRPr="00661853" w:rsidRDefault="003F3717" w:rsidP="003F3717">
      <w:pPr>
        <w:rPr>
          <w:b/>
          <w:iCs/>
          <w:color w:val="222222"/>
          <w:sz w:val="22"/>
        </w:rPr>
      </w:pPr>
      <w:r w:rsidRPr="003F3717">
        <w:rPr>
          <w:b/>
          <w:iCs/>
          <w:color w:val="222222"/>
          <w:sz w:val="22"/>
        </w:rPr>
        <w:t>Figura 01:</w:t>
      </w:r>
      <w:r w:rsidRPr="003F3717">
        <w:rPr>
          <w:iCs/>
          <w:color w:val="222222"/>
          <w:sz w:val="22"/>
        </w:rPr>
        <w:t xml:space="preserve"> </w:t>
      </w:r>
      <w:proofErr w:type="spellStart"/>
      <w:r w:rsidRPr="003F3717">
        <w:rPr>
          <w:b/>
          <w:i/>
          <w:iCs/>
          <w:color w:val="222222"/>
          <w:sz w:val="22"/>
        </w:rPr>
        <w:t>Brotogeris</w:t>
      </w:r>
      <w:proofErr w:type="spellEnd"/>
      <w:r w:rsidRPr="003F3717">
        <w:rPr>
          <w:b/>
          <w:i/>
          <w:iCs/>
          <w:color w:val="222222"/>
          <w:sz w:val="22"/>
        </w:rPr>
        <w:t xml:space="preserve"> </w:t>
      </w:r>
      <w:proofErr w:type="spellStart"/>
      <w:r w:rsidRPr="003F3717">
        <w:rPr>
          <w:b/>
          <w:i/>
          <w:iCs/>
          <w:color w:val="222222"/>
          <w:sz w:val="22"/>
        </w:rPr>
        <w:t>versicolurus</w:t>
      </w:r>
      <w:proofErr w:type="spellEnd"/>
      <w:r>
        <w:rPr>
          <w:b/>
          <w:i/>
          <w:iCs/>
          <w:color w:val="222222"/>
          <w:sz w:val="22"/>
        </w:rPr>
        <w:t xml:space="preserve">. </w:t>
      </w:r>
      <w:r w:rsidR="007C3640">
        <w:rPr>
          <w:b/>
          <w:i/>
          <w:iCs/>
          <w:color w:val="222222"/>
          <w:sz w:val="22"/>
        </w:rPr>
        <w:t xml:space="preserve">  </w:t>
      </w:r>
      <w:r w:rsidRPr="003F3717">
        <w:rPr>
          <w:b/>
          <w:iCs/>
          <w:color w:val="222222"/>
          <w:sz w:val="22"/>
        </w:rPr>
        <w:t>Figura 0</w:t>
      </w:r>
      <w:r>
        <w:rPr>
          <w:b/>
          <w:iCs/>
          <w:color w:val="222222"/>
          <w:sz w:val="22"/>
        </w:rPr>
        <w:t>2</w:t>
      </w:r>
      <w:r w:rsidRPr="003F3717">
        <w:rPr>
          <w:b/>
          <w:iCs/>
          <w:color w:val="222222"/>
          <w:sz w:val="22"/>
        </w:rPr>
        <w:t>:</w:t>
      </w:r>
      <w:r w:rsidR="007C3640">
        <w:rPr>
          <w:iCs/>
          <w:color w:val="222222"/>
          <w:sz w:val="22"/>
        </w:rPr>
        <w:t xml:space="preserve"> Achados de necropsia.  </w:t>
      </w:r>
      <w:r w:rsidR="007C3640" w:rsidRPr="003F3717">
        <w:rPr>
          <w:b/>
          <w:iCs/>
          <w:color w:val="222222"/>
          <w:sz w:val="22"/>
        </w:rPr>
        <w:t>Figura 0</w:t>
      </w:r>
      <w:r w:rsidR="00661853">
        <w:rPr>
          <w:b/>
          <w:iCs/>
          <w:color w:val="222222"/>
          <w:sz w:val="22"/>
        </w:rPr>
        <w:t>3</w:t>
      </w:r>
      <w:r w:rsidR="007C3640" w:rsidRPr="003F3717">
        <w:rPr>
          <w:b/>
          <w:iCs/>
          <w:color w:val="222222"/>
          <w:sz w:val="22"/>
        </w:rPr>
        <w:t>:</w:t>
      </w:r>
      <w:r w:rsidR="007C3640">
        <w:rPr>
          <w:iCs/>
          <w:color w:val="222222"/>
          <w:sz w:val="22"/>
        </w:rPr>
        <w:t xml:space="preserve"> Achados de necropsia.</w:t>
      </w:r>
    </w:p>
    <w:p w:rsidR="00C33A17" w:rsidRPr="00C33A17" w:rsidRDefault="00C33A17" w:rsidP="00C33A17">
      <w:pPr>
        <w:spacing w:line="240" w:lineRule="auto"/>
        <w:ind w:firstLine="708"/>
        <w:rPr>
          <w:iCs/>
          <w:color w:val="222222"/>
          <w:sz w:val="22"/>
        </w:rPr>
      </w:pPr>
      <w:r w:rsidRPr="00C33A17">
        <w:rPr>
          <w:iCs/>
          <w:color w:val="222222"/>
          <w:sz w:val="22"/>
        </w:rPr>
        <w:t>As alterações comportamentais, associadas a ferimentos e mortes de periquitos são tipificados como práticas criminosas, segundo os termos dos Artigos 29 e 32 da Lei 9.605, de 12 de fevereiro de 1998.</w:t>
      </w:r>
    </w:p>
    <w:p w:rsidR="00C33A17" w:rsidRPr="00C33A17" w:rsidRDefault="00C33A17" w:rsidP="00C33A17">
      <w:pPr>
        <w:spacing w:line="240" w:lineRule="auto"/>
        <w:rPr>
          <w:iCs/>
          <w:color w:val="222222"/>
          <w:sz w:val="22"/>
        </w:rPr>
      </w:pPr>
      <w:r w:rsidRPr="00C33A17">
        <w:rPr>
          <w:iCs/>
          <w:color w:val="222222"/>
          <w:sz w:val="22"/>
        </w:rPr>
        <w:t>A espécie animal identificada consta na lista oficial de fauna silvestre da Convenção de Comércio Internacional das Espécies da Flora e Fauna Selvagens em Perigo de Extinção – CITES. Fato agravante visto no Inciso II, do Artigo 24, do Decreto 6.514, de 22 de julho de 2008, que prevê multa de R$5.000,00 (cinco mil reais) por cada indivíduo constante nas listas oficiais de fauna brasileira ameaçada de extinção, incluindo a referida lista CITES.</w:t>
      </w:r>
    </w:p>
    <w:p w:rsidR="00885ABD" w:rsidRPr="00885ABD" w:rsidRDefault="00885ABD" w:rsidP="00885ABD">
      <w:pPr>
        <w:spacing w:line="240" w:lineRule="auto"/>
        <w:ind w:firstLine="708"/>
        <w:rPr>
          <w:noProof/>
          <w:sz w:val="22"/>
        </w:rPr>
      </w:pPr>
      <w:r w:rsidRPr="00885ABD">
        <w:rPr>
          <w:noProof/>
          <w:sz w:val="22"/>
        </w:rPr>
        <w:t>A causa da morte (choque hipovolêmico) foi decorrente das lesões que apresentavam compatibilidade com os efeitos primários causados por ondas de choque, comumente verificadas após detonações de altos explosivos, mesmo apesar de fogos de artifícios serem classificados com baixos explosivos, a carga a ser deflagrada pode oferecer riscos, sobretudo em animais de pequeno porte e com caraterísticas anatômicas sensíveis como as aves.</w:t>
      </w:r>
    </w:p>
    <w:p w:rsidR="00C33A17" w:rsidRPr="00C33A17" w:rsidRDefault="00C33A17" w:rsidP="00C33A17">
      <w:pPr>
        <w:spacing w:line="240" w:lineRule="auto"/>
        <w:ind w:firstLine="708"/>
        <w:rPr>
          <w:noProof/>
          <w:sz w:val="22"/>
        </w:rPr>
      </w:pPr>
      <w:r w:rsidRPr="00C33A17">
        <w:rPr>
          <w:noProof/>
          <w:sz w:val="22"/>
        </w:rPr>
        <w:t>O número real de animais fatalmente ou clinicamente afetados pode ter sido maior, uma vez que só foram resgatadas as aves encontradas nas vias públicas e outras aves podem ter caído fora do alcance das equipes de resgate, como no interior de imóveis.</w:t>
      </w:r>
      <w:r>
        <w:rPr>
          <w:noProof/>
          <w:sz w:val="22"/>
        </w:rPr>
        <w:t xml:space="preserve"> </w:t>
      </w:r>
      <w:r w:rsidRPr="00C33A17">
        <w:rPr>
          <w:noProof/>
          <w:sz w:val="22"/>
        </w:rPr>
        <w:t xml:space="preserve">Outra hipótese que se levanta gira em torno das lesões subclínicas e fisiológicas causadas nos animais que habitam naquelas imediações, pois não houve como examinar as condições clínicas em que ficaram os vivos remanescentes. No entanto, pode-se inferir que o fator estresse pode facilitar a ocorrência de doenças ou óbitos posteriores. </w:t>
      </w:r>
    </w:p>
    <w:p w:rsidR="00C33A17" w:rsidRPr="00C33A17" w:rsidRDefault="00C33A17" w:rsidP="00885ABD">
      <w:pPr>
        <w:spacing w:line="240" w:lineRule="auto"/>
        <w:ind w:firstLine="708"/>
        <w:rPr>
          <w:sz w:val="22"/>
          <w:shd w:val="clear" w:color="auto" w:fill="FFFFFF"/>
        </w:rPr>
      </w:pPr>
      <w:r w:rsidRPr="00C33A17">
        <w:rPr>
          <w:noProof/>
          <w:sz w:val="22"/>
        </w:rPr>
        <w:t>A ausência de lesões com características de traumas afasta a hipótese de mortes por quedas ou choques com estruturas sólidas.</w:t>
      </w:r>
      <w:r>
        <w:rPr>
          <w:noProof/>
          <w:sz w:val="22"/>
        </w:rPr>
        <w:t xml:space="preserve"> </w:t>
      </w:r>
      <w:r w:rsidRPr="00C33A17">
        <w:rPr>
          <w:noProof/>
          <w:sz w:val="22"/>
        </w:rPr>
        <w:t>As extensas lesões hemorrágicas verificadas nas vísceras e região encefálica dos animais apresentaram compatibilidade com lesões dos efeitos primários causados por ondas de choque, comumente verificadas após detonações de altos explosivos.</w:t>
      </w:r>
      <w:r w:rsidR="00885ABD">
        <w:rPr>
          <w:noProof/>
          <w:sz w:val="22"/>
        </w:rPr>
        <w:t xml:space="preserve"> </w:t>
      </w:r>
      <w:r w:rsidRPr="00C33A17">
        <w:rPr>
          <w:noProof/>
          <w:sz w:val="22"/>
        </w:rPr>
        <w:t xml:space="preserve">Apesar de fogos de artifícios serem classificados com baixos explosivos, a carga a ser deflagrada pode oferecer riscos, sobretudo em animais de pequeno porte e com caraterísticas anatômicas sensíveis como as aves. </w:t>
      </w:r>
    </w:p>
    <w:p w:rsidR="00C33A17" w:rsidRPr="00894F36" w:rsidRDefault="00C33A17" w:rsidP="00894F36">
      <w:pPr>
        <w:jc w:val="center"/>
        <w:rPr>
          <w:b/>
          <w:color w:val="000000"/>
        </w:rPr>
      </w:pPr>
      <w:r w:rsidRPr="00C74B4B">
        <w:rPr>
          <w:b/>
          <w:color w:val="000000"/>
        </w:rPr>
        <w:t>BIBLIOGRAFIA</w:t>
      </w:r>
      <w:r>
        <w:rPr>
          <w:sz w:val="20"/>
          <w:szCs w:val="20"/>
        </w:rPr>
        <w:t> </w:t>
      </w:r>
    </w:p>
    <w:p w:rsidR="00C33A17" w:rsidRPr="006044CF" w:rsidRDefault="00C33A17" w:rsidP="00C33A17">
      <w:pPr>
        <w:shd w:val="clear" w:color="auto" w:fill="FFFFFF"/>
        <w:spacing w:line="240" w:lineRule="auto"/>
        <w:outlineLvl w:val="3"/>
        <w:rPr>
          <w:sz w:val="20"/>
          <w:szCs w:val="20"/>
        </w:rPr>
      </w:pPr>
      <w:r w:rsidRPr="006044CF">
        <w:rPr>
          <w:sz w:val="20"/>
          <w:szCs w:val="20"/>
          <w:lang w:val="en"/>
        </w:rPr>
        <w:t xml:space="preserve">BLACKWELL, E. J.; </w:t>
      </w:r>
      <w:r>
        <w:rPr>
          <w:sz w:val="20"/>
          <w:szCs w:val="20"/>
          <w:lang w:val="en"/>
        </w:rPr>
        <w:t>et al</w:t>
      </w:r>
      <w:r w:rsidRPr="006044CF">
        <w:rPr>
          <w:sz w:val="20"/>
          <w:szCs w:val="20"/>
          <w:lang w:val="en"/>
        </w:rPr>
        <w:t xml:space="preserve">. Fear responses to noises in domestic dogs: Prevalence, risk factors and co-occurrence with other fear related </w:t>
      </w:r>
      <w:proofErr w:type="spellStart"/>
      <w:r w:rsidRPr="006044CF">
        <w:rPr>
          <w:sz w:val="20"/>
          <w:szCs w:val="20"/>
          <w:lang w:val="en"/>
        </w:rPr>
        <w:t>behaviour</w:t>
      </w:r>
      <w:proofErr w:type="spellEnd"/>
      <w:r w:rsidRPr="006044CF">
        <w:rPr>
          <w:sz w:val="20"/>
          <w:szCs w:val="20"/>
          <w:lang w:val="en"/>
        </w:rPr>
        <w:t xml:space="preserve">. </w:t>
      </w:r>
      <w:r w:rsidRPr="003D16EC">
        <w:rPr>
          <w:b/>
          <w:sz w:val="20"/>
          <w:szCs w:val="20"/>
          <w:lang w:val="en"/>
        </w:rPr>
        <w:t xml:space="preserve">Applied </w:t>
      </w:r>
      <w:r w:rsidRPr="003D16EC">
        <w:rPr>
          <w:b/>
          <w:sz w:val="20"/>
          <w:szCs w:val="20"/>
        </w:rPr>
        <w:t xml:space="preserve">Animal </w:t>
      </w:r>
      <w:proofErr w:type="spellStart"/>
      <w:r w:rsidRPr="003D16EC">
        <w:rPr>
          <w:b/>
          <w:sz w:val="20"/>
          <w:szCs w:val="20"/>
        </w:rPr>
        <w:t>Behaviour</w:t>
      </w:r>
      <w:proofErr w:type="spellEnd"/>
      <w:r w:rsidRPr="003D16EC">
        <w:rPr>
          <w:b/>
          <w:sz w:val="20"/>
          <w:szCs w:val="20"/>
        </w:rPr>
        <w:t xml:space="preserve"> Science</w:t>
      </w:r>
      <w:r w:rsidRPr="006044CF">
        <w:rPr>
          <w:sz w:val="20"/>
          <w:szCs w:val="20"/>
        </w:rPr>
        <w:t xml:space="preserve">, </w:t>
      </w:r>
      <w:r>
        <w:rPr>
          <w:sz w:val="20"/>
          <w:szCs w:val="20"/>
        </w:rPr>
        <w:t>v.145</w:t>
      </w:r>
      <w:r w:rsidRPr="006044CF">
        <w:rPr>
          <w:sz w:val="20"/>
          <w:szCs w:val="20"/>
        </w:rPr>
        <w:t xml:space="preserve">, </w:t>
      </w:r>
      <w:r>
        <w:rPr>
          <w:sz w:val="20"/>
          <w:szCs w:val="20"/>
        </w:rPr>
        <w:t>n.1, p.</w:t>
      </w:r>
      <w:r w:rsidRPr="006044CF">
        <w:rPr>
          <w:sz w:val="20"/>
          <w:szCs w:val="20"/>
        </w:rPr>
        <w:t>15-25</w:t>
      </w:r>
      <w:proofErr w:type="gramStart"/>
      <w:r>
        <w:rPr>
          <w:sz w:val="20"/>
          <w:szCs w:val="20"/>
        </w:rPr>
        <w:t xml:space="preserve">, </w:t>
      </w:r>
      <w:r w:rsidRPr="006044CF">
        <w:rPr>
          <w:sz w:val="20"/>
          <w:szCs w:val="20"/>
        </w:rPr>
        <w:t xml:space="preserve"> </w:t>
      </w:r>
      <w:r>
        <w:rPr>
          <w:sz w:val="20"/>
          <w:szCs w:val="20"/>
        </w:rPr>
        <w:t>2013</w:t>
      </w:r>
      <w:proofErr w:type="gramEnd"/>
      <w:r>
        <w:rPr>
          <w:sz w:val="20"/>
          <w:szCs w:val="20"/>
        </w:rPr>
        <w:t>.</w:t>
      </w:r>
    </w:p>
    <w:p w:rsidR="00C33A17" w:rsidRDefault="00C33A17" w:rsidP="00C33A17">
      <w:pPr>
        <w:spacing w:line="240" w:lineRule="auto"/>
        <w:rPr>
          <w:sz w:val="20"/>
          <w:szCs w:val="20"/>
        </w:rPr>
      </w:pPr>
      <w:r w:rsidRPr="006044CF">
        <w:rPr>
          <w:sz w:val="20"/>
          <w:szCs w:val="20"/>
        </w:rPr>
        <w:t xml:space="preserve">BRASIL. </w:t>
      </w:r>
      <w:r w:rsidRPr="006044CF">
        <w:rPr>
          <w:i/>
          <w:iCs/>
          <w:sz w:val="20"/>
          <w:szCs w:val="20"/>
        </w:rPr>
        <w:t>Constituição Federal de 1988</w:t>
      </w:r>
      <w:r w:rsidRPr="006044CF">
        <w:rPr>
          <w:sz w:val="20"/>
          <w:szCs w:val="20"/>
        </w:rPr>
        <w:t xml:space="preserve">. Promulgada em </w:t>
      </w:r>
      <w:proofErr w:type="gramStart"/>
      <w:r w:rsidRPr="006044CF">
        <w:rPr>
          <w:sz w:val="20"/>
          <w:szCs w:val="20"/>
        </w:rPr>
        <w:t>5</w:t>
      </w:r>
      <w:proofErr w:type="gramEnd"/>
      <w:r w:rsidRPr="006044CF">
        <w:rPr>
          <w:sz w:val="20"/>
          <w:szCs w:val="20"/>
        </w:rPr>
        <w:t xml:space="preserve"> de outubro de 1988. Disponível em </w:t>
      </w:r>
      <w:r w:rsidRPr="006044CF">
        <w:rPr>
          <w:sz w:val="20"/>
          <w:szCs w:val="20"/>
          <w:u w:val="single"/>
        </w:rPr>
        <w:t>http://www.planalto.gov.br/ccivil_03/constituicao/constituição.htm</w:t>
      </w:r>
      <w:r w:rsidRPr="006044CF">
        <w:rPr>
          <w:sz w:val="20"/>
          <w:szCs w:val="20"/>
        </w:rPr>
        <w:t>.</w:t>
      </w:r>
      <w:r w:rsidRPr="00652FAA">
        <w:rPr>
          <w:sz w:val="20"/>
          <w:szCs w:val="20"/>
          <w:lang w:val="en-US"/>
        </w:rPr>
        <w:t xml:space="preserve"> </w:t>
      </w:r>
      <w:proofErr w:type="spellStart"/>
      <w:r>
        <w:rPr>
          <w:sz w:val="20"/>
          <w:szCs w:val="20"/>
          <w:lang w:val="en-US"/>
        </w:rPr>
        <w:t>Ac</w:t>
      </w:r>
      <w:r w:rsidRPr="006044CF">
        <w:rPr>
          <w:sz w:val="20"/>
          <w:szCs w:val="20"/>
          <w:lang w:val="en-US"/>
        </w:rPr>
        <w:t>ess</w:t>
      </w:r>
      <w:r>
        <w:rPr>
          <w:sz w:val="20"/>
          <w:szCs w:val="20"/>
          <w:lang w:val="en-US"/>
        </w:rPr>
        <w:t>ado</w:t>
      </w:r>
      <w:proofErr w:type="spellEnd"/>
      <w:r>
        <w:rPr>
          <w:sz w:val="20"/>
          <w:szCs w:val="20"/>
          <w:lang w:val="en-US"/>
        </w:rPr>
        <w:t xml:space="preserve"> em</w:t>
      </w:r>
      <w:r w:rsidRPr="006044CF">
        <w:rPr>
          <w:sz w:val="20"/>
          <w:szCs w:val="20"/>
          <w:lang w:val="en-US"/>
        </w:rPr>
        <w:t xml:space="preserve"> </w:t>
      </w:r>
      <w:r>
        <w:rPr>
          <w:sz w:val="20"/>
          <w:szCs w:val="20"/>
          <w:lang w:val="en-US"/>
        </w:rPr>
        <w:t>14</w:t>
      </w:r>
      <w:r w:rsidRPr="006044CF">
        <w:rPr>
          <w:sz w:val="20"/>
          <w:szCs w:val="20"/>
          <w:lang w:val="en-US"/>
        </w:rPr>
        <w:t> </w:t>
      </w:r>
      <w:r>
        <w:rPr>
          <w:sz w:val="20"/>
          <w:szCs w:val="20"/>
          <w:lang w:val="en-US"/>
        </w:rPr>
        <w:t xml:space="preserve">de </w:t>
      </w:r>
      <w:proofErr w:type="spellStart"/>
      <w:r>
        <w:rPr>
          <w:sz w:val="20"/>
          <w:szCs w:val="20"/>
          <w:lang w:val="en-US"/>
        </w:rPr>
        <w:t>dezembro</w:t>
      </w:r>
      <w:proofErr w:type="spellEnd"/>
      <w:r w:rsidRPr="006044CF">
        <w:rPr>
          <w:sz w:val="20"/>
          <w:szCs w:val="20"/>
          <w:lang w:val="en-US"/>
        </w:rPr>
        <w:t xml:space="preserve"> </w:t>
      </w:r>
      <w:r>
        <w:rPr>
          <w:sz w:val="20"/>
          <w:szCs w:val="20"/>
          <w:lang w:val="en-US"/>
        </w:rPr>
        <w:t>de</w:t>
      </w:r>
      <w:proofErr w:type="gramStart"/>
      <w:r w:rsidRPr="006044CF">
        <w:rPr>
          <w:sz w:val="20"/>
          <w:szCs w:val="20"/>
          <w:lang w:val="en-US"/>
        </w:rPr>
        <w:t xml:space="preserve">  </w:t>
      </w:r>
      <w:r>
        <w:rPr>
          <w:sz w:val="20"/>
          <w:szCs w:val="20"/>
        </w:rPr>
        <w:t>2016</w:t>
      </w:r>
      <w:proofErr w:type="gramEnd"/>
      <w:r>
        <w:rPr>
          <w:sz w:val="20"/>
          <w:szCs w:val="20"/>
        </w:rPr>
        <w:t>. </w:t>
      </w:r>
    </w:p>
    <w:p w:rsidR="00C33A17" w:rsidRPr="00652FAA" w:rsidRDefault="00C33A17" w:rsidP="00C33A17">
      <w:pPr>
        <w:spacing w:line="240" w:lineRule="auto"/>
        <w:rPr>
          <w:sz w:val="20"/>
          <w:szCs w:val="20"/>
        </w:rPr>
      </w:pPr>
      <w:r w:rsidRPr="006044CF">
        <w:rPr>
          <w:sz w:val="20"/>
          <w:szCs w:val="20"/>
        </w:rPr>
        <w:t xml:space="preserve">BRASIL. </w:t>
      </w:r>
      <w:r w:rsidRPr="006044CF">
        <w:rPr>
          <w:iCs/>
          <w:sz w:val="20"/>
          <w:szCs w:val="20"/>
        </w:rPr>
        <w:t xml:space="preserve">Decreto 6.514, de 22 de Julho de 2008. Dispões sobre as infrações e sanções administrativas ao meio ambiente, estabelece o processo administrativo federal para apuração destas infrações, e dá outras providências. </w:t>
      </w:r>
      <w:hyperlink r:id="rId12" w:history="1">
        <w:r w:rsidRPr="006044CF">
          <w:rPr>
            <w:rStyle w:val="Hyperlink"/>
            <w:sz w:val="20"/>
            <w:szCs w:val="20"/>
          </w:rPr>
          <w:t>http://www.planalto.gov.br/ccivil_03/_ato2007-2010/2008/decreto/d6514.htm</w:t>
        </w:r>
      </w:hyperlink>
      <w:r w:rsidRPr="006044CF">
        <w:rPr>
          <w:sz w:val="20"/>
          <w:szCs w:val="20"/>
        </w:rPr>
        <w:t xml:space="preserve"> </w:t>
      </w:r>
      <w:proofErr w:type="spellStart"/>
      <w:r>
        <w:rPr>
          <w:sz w:val="20"/>
          <w:szCs w:val="20"/>
          <w:lang w:val="en-US"/>
        </w:rPr>
        <w:t>Ac</w:t>
      </w:r>
      <w:r w:rsidRPr="006044CF">
        <w:rPr>
          <w:sz w:val="20"/>
          <w:szCs w:val="20"/>
          <w:lang w:val="en-US"/>
        </w:rPr>
        <w:t>ess</w:t>
      </w:r>
      <w:r>
        <w:rPr>
          <w:sz w:val="20"/>
          <w:szCs w:val="20"/>
          <w:lang w:val="en-US"/>
        </w:rPr>
        <w:t>ado</w:t>
      </w:r>
      <w:proofErr w:type="spellEnd"/>
      <w:r>
        <w:rPr>
          <w:sz w:val="20"/>
          <w:szCs w:val="20"/>
          <w:lang w:val="en-US"/>
        </w:rPr>
        <w:t xml:space="preserve"> em</w:t>
      </w:r>
      <w:r w:rsidRPr="006044CF">
        <w:rPr>
          <w:sz w:val="20"/>
          <w:szCs w:val="20"/>
          <w:lang w:val="en-US"/>
        </w:rPr>
        <w:t xml:space="preserve"> 19 </w:t>
      </w:r>
      <w:r>
        <w:rPr>
          <w:sz w:val="20"/>
          <w:szCs w:val="20"/>
          <w:lang w:val="en-US"/>
        </w:rPr>
        <w:t xml:space="preserve">de </w:t>
      </w:r>
      <w:proofErr w:type="spellStart"/>
      <w:r>
        <w:rPr>
          <w:sz w:val="20"/>
          <w:szCs w:val="20"/>
          <w:lang w:val="en-US"/>
        </w:rPr>
        <w:t>dezembro</w:t>
      </w:r>
      <w:proofErr w:type="spellEnd"/>
      <w:r w:rsidRPr="006044CF">
        <w:rPr>
          <w:sz w:val="20"/>
          <w:szCs w:val="20"/>
          <w:lang w:val="en-US"/>
        </w:rPr>
        <w:t xml:space="preserve"> </w:t>
      </w:r>
      <w:r>
        <w:rPr>
          <w:sz w:val="20"/>
          <w:szCs w:val="20"/>
          <w:lang w:val="en-US"/>
        </w:rPr>
        <w:t>de</w:t>
      </w:r>
      <w:r w:rsidRPr="006044CF">
        <w:rPr>
          <w:sz w:val="20"/>
          <w:szCs w:val="20"/>
          <w:lang w:val="en-US"/>
        </w:rPr>
        <w:t xml:space="preserve">  </w:t>
      </w:r>
      <w:r>
        <w:rPr>
          <w:sz w:val="20"/>
          <w:szCs w:val="20"/>
        </w:rPr>
        <w:t>2016. </w:t>
      </w:r>
    </w:p>
    <w:p w:rsidR="00C33A17" w:rsidRPr="006044CF" w:rsidRDefault="00C33A17" w:rsidP="00C33A17">
      <w:pPr>
        <w:spacing w:line="240" w:lineRule="auto"/>
        <w:rPr>
          <w:sz w:val="20"/>
          <w:szCs w:val="20"/>
        </w:rPr>
      </w:pPr>
      <w:r w:rsidRPr="006044CF">
        <w:rPr>
          <w:sz w:val="20"/>
          <w:szCs w:val="20"/>
        </w:rPr>
        <w:t xml:space="preserve">BRASIL. </w:t>
      </w:r>
      <w:r w:rsidRPr="006044CF">
        <w:rPr>
          <w:noProof/>
          <w:sz w:val="20"/>
          <w:szCs w:val="20"/>
        </w:rPr>
        <w:t xml:space="preserve">Decreto n°3665, de 20 de Novembro de 2000. Dá nova redação ao Regulamento para a Fiscalização de Produtos Controlados (R-105). </w:t>
      </w:r>
      <w:hyperlink r:id="rId13" w:history="1">
        <w:r w:rsidRPr="006044CF">
          <w:rPr>
            <w:rStyle w:val="Hyperlink"/>
            <w:sz w:val="20"/>
            <w:szCs w:val="20"/>
          </w:rPr>
          <w:t>http://www.planalto.gov.br/ccivil_03/decreto/d3665.htm</w:t>
        </w:r>
      </w:hyperlink>
      <w:r w:rsidRPr="006044CF">
        <w:rPr>
          <w:sz w:val="20"/>
          <w:szCs w:val="20"/>
        </w:rPr>
        <w:t xml:space="preserve"> </w:t>
      </w:r>
      <w:proofErr w:type="spellStart"/>
      <w:r>
        <w:rPr>
          <w:sz w:val="20"/>
          <w:szCs w:val="20"/>
          <w:lang w:val="en-US"/>
        </w:rPr>
        <w:t>Ac</w:t>
      </w:r>
      <w:r w:rsidRPr="006044CF">
        <w:rPr>
          <w:sz w:val="20"/>
          <w:szCs w:val="20"/>
          <w:lang w:val="en-US"/>
        </w:rPr>
        <w:t>ess</w:t>
      </w:r>
      <w:r>
        <w:rPr>
          <w:sz w:val="20"/>
          <w:szCs w:val="20"/>
          <w:lang w:val="en-US"/>
        </w:rPr>
        <w:t>ado</w:t>
      </w:r>
      <w:proofErr w:type="spellEnd"/>
      <w:r>
        <w:rPr>
          <w:sz w:val="20"/>
          <w:szCs w:val="20"/>
          <w:lang w:val="en-US"/>
        </w:rPr>
        <w:t xml:space="preserve"> em</w:t>
      </w:r>
      <w:r w:rsidRPr="006044CF">
        <w:rPr>
          <w:sz w:val="20"/>
          <w:szCs w:val="20"/>
          <w:lang w:val="en-US"/>
        </w:rPr>
        <w:t xml:space="preserve"> </w:t>
      </w:r>
      <w:r>
        <w:rPr>
          <w:sz w:val="20"/>
          <w:szCs w:val="20"/>
          <w:lang w:val="en-US"/>
        </w:rPr>
        <w:t>11</w:t>
      </w:r>
      <w:r w:rsidRPr="006044CF">
        <w:rPr>
          <w:sz w:val="20"/>
          <w:szCs w:val="20"/>
          <w:lang w:val="en-US"/>
        </w:rPr>
        <w:t> </w:t>
      </w:r>
      <w:r>
        <w:rPr>
          <w:sz w:val="20"/>
          <w:szCs w:val="20"/>
          <w:lang w:val="en-US"/>
        </w:rPr>
        <w:t xml:space="preserve">de </w:t>
      </w:r>
      <w:proofErr w:type="spellStart"/>
      <w:r>
        <w:rPr>
          <w:sz w:val="20"/>
          <w:szCs w:val="20"/>
          <w:lang w:val="en-US"/>
        </w:rPr>
        <w:t>dezembro</w:t>
      </w:r>
      <w:proofErr w:type="spellEnd"/>
      <w:r w:rsidRPr="006044CF">
        <w:rPr>
          <w:sz w:val="20"/>
          <w:szCs w:val="20"/>
          <w:lang w:val="en-US"/>
        </w:rPr>
        <w:t xml:space="preserve"> </w:t>
      </w:r>
      <w:r>
        <w:rPr>
          <w:sz w:val="20"/>
          <w:szCs w:val="20"/>
          <w:lang w:val="en-US"/>
        </w:rPr>
        <w:t>de</w:t>
      </w:r>
      <w:r w:rsidRPr="006044CF">
        <w:rPr>
          <w:sz w:val="20"/>
          <w:szCs w:val="20"/>
          <w:lang w:val="en-US"/>
        </w:rPr>
        <w:t xml:space="preserve">  </w:t>
      </w:r>
      <w:r>
        <w:rPr>
          <w:sz w:val="20"/>
          <w:szCs w:val="20"/>
        </w:rPr>
        <w:t>2016. </w:t>
      </w:r>
    </w:p>
    <w:p w:rsidR="00C33A17" w:rsidRPr="006044CF" w:rsidRDefault="00C33A17" w:rsidP="00C33A17">
      <w:pPr>
        <w:spacing w:line="240" w:lineRule="auto"/>
        <w:rPr>
          <w:sz w:val="20"/>
          <w:szCs w:val="20"/>
          <w:lang w:val="en-US"/>
        </w:rPr>
      </w:pPr>
      <w:r w:rsidRPr="006044CF">
        <w:rPr>
          <w:sz w:val="20"/>
          <w:szCs w:val="20"/>
        </w:rPr>
        <w:t xml:space="preserve">CAPILÉ, K V; </w:t>
      </w:r>
      <w:proofErr w:type="gramStart"/>
      <w:r>
        <w:rPr>
          <w:sz w:val="20"/>
          <w:szCs w:val="20"/>
        </w:rPr>
        <w:t>et</w:t>
      </w:r>
      <w:proofErr w:type="gramEnd"/>
      <w:r>
        <w:rPr>
          <w:sz w:val="20"/>
          <w:szCs w:val="20"/>
        </w:rPr>
        <w:t xml:space="preserve"> al</w:t>
      </w:r>
      <w:r w:rsidRPr="006044CF">
        <w:rPr>
          <w:sz w:val="20"/>
          <w:szCs w:val="20"/>
        </w:rPr>
        <w:t xml:space="preserve">. Bioética ambiental: Refletindo o uso de fogos de artifício e suas consequências para a fauna. </w:t>
      </w:r>
      <w:r w:rsidRPr="00261330">
        <w:rPr>
          <w:b/>
          <w:bCs/>
          <w:sz w:val="20"/>
          <w:szCs w:val="20"/>
          <w:lang w:val="en-US"/>
        </w:rPr>
        <w:t xml:space="preserve">Rev. </w:t>
      </w:r>
      <w:proofErr w:type="spellStart"/>
      <w:r w:rsidRPr="00261330">
        <w:rPr>
          <w:b/>
          <w:bCs/>
          <w:sz w:val="20"/>
          <w:szCs w:val="20"/>
          <w:lang w:val="en-US"/>
        </w:rPr>
        <w:t>Bioét</w:t>
      </w:r>
      <w:proofErr w:type="spellEnd"/>
      <w:r w:rsidRPr="00261330">
        <w:rPr>
          <w:b/>
          <w:bCs/>
          <w:sz w:val="20"/>
          <w:szCs w:val="20"/>
          <w:lang w:val="en-US"/>
        </w:rPr>
        <w:t>.</w:t>
      </w:r>
      <w:r>
        <w:rPr>
          <w:sz w:val="20"/>
          <w:szCs w:val="20"/>
          <w:lang w:val="en-US"/>
        </w:rPr>
        <w:t>,</w:t>
      </w:r>
      <w:r w:rsidRPr="006044CF">
        <w:rPr>
          <w:sz w:val="20"/>
          <w:szCs w:val="20"/>
          <w:lang w:val="en-US"/>
        </w:rPr>
        <w:t xml:space="preserve"> v.8, n.4, p.406-412, 2014</w:t>
      </w:r>
      <w:r>
        <w:rPr>
          <w:sz w:val="20"/>
          <w:szCs w:val="20"/>
          <w:lang w:val="en-US"/>
        </w:rPr>
        <w:t>.</w:t>
      </w:r>
    </w:p>
    <w:p w:rsidR="00C33A17" w:rsidRPr="006044CF" w:rsidRDefault="00C33A17" w:rsidP="00C33A17">
      <w:pPr>
        <w:spacing w:line="240" w:lineRule="auto"/>
        <w:rPr>
          <w:rStyle w:val="citation"/>
          <w:sz w:val="20"/>
          <w:szCs w:val="20"/>
        </w:rPr>
      </w:pPr>
      <w:proofErr w:type="spellStart"/>
      <w:proofErr w:type="gramStart"/>
      <w:r w:rsidRPr="006044CF">
        <w:rPr>
          <w:rStyle w:val="citation"/>
          <w:sz w:val="20"/>
          <w:szCs w:val="20"/>
          <w:lang w:val="en"/>
        </w:rPr>
        <w:t>Cullis</w:t>
      </w:r>
      <w:proofErr w:type="spellEnd"/>
      <w:r w:rsidRPr="006044CF">
        <w:rPr>
          <w:rStyle w:val="citation"/>
          <w:sz w:val="20"/>
          <w:szCs w:val="20"/>
          <w:lang w:val="en"/>
        </w:rPr>
        <w:t xml:space="preserve"> IG.</w:t>
      </w:r>
      <w:proofErr w:type="gramEnd"/>
      <w:r w:rsidRPr="006044CF">
        <w:rPr>
          <w:rStyle w:val="citation"/>
          <w:sz w:val="20"/>
          <w:szCs w:val="20"/>
          <w:lang w:val="en"/>
        </w:rPr>
        <w:t xml:space="preserve"> Blast waves and how they interact with structures. </w:t>
      </w:r>
      <w:proofErr w:type="gramStart"/>
      <w:r w:rsidRPr="00261330">
        <w:rPr>
          <w:rStyle w:val="ref-journal"/>
          <w:b/>
          <w:sz w:val="20"/>
          <w:szCs w:val="20"/>
          <w:lang w:val="en"/>
        </w:rPr>
        <w:t>J R Army Med Corps.</w:t>
      </w:r>
      <w:proofErr w:type="gramEnd"/>
      <w:r w:rsidRPr="006044CF">
        <w:rPr>
          <w:rStyle w:val="ref-journal"/>
          <w:sz w:val="20"/>
          <w:szCs w:val="20"/>
          <w:lang w:val="en"/>
        </w:rPr>
        <w:t xml:space="preserve"> </w:t>
      </w:r>
      <w:proofErr w:type="gramStart"/>
      <w:r>
        <w:rPr>
          <w:rStyle w:val="citation"/>
          <w:sz w:val="20"/>
          <w:szCs w:val="20"/>
        </w:rPr>
        <w:t>v.</w:t>
      </w:r>
      <w:proofErr w:type="gramEnd"/>
      <w:r w:rsidRPr="006044CF">
        <w:rPr>
          <w:rStyle w:val="ref-vol"/>
          <w:sz w:val="20"/>
          <w:szCs w:val="20"/>
        </w:rPr>
        <w:t>147</w:t>
      </w:r>
      <w:r>
        <w:rPr>
          <w:rStyle w:val="ref-vol"/>
          <w:sz w:val="20"/>
          <w:szCs w:val="20"/>
        </w:rPr>
        <w:t>, p.</w:t>
      </w:r>
      <w:r w:rsidRPr="006044CF">
        <w:rPr>
          <w:rStyle w:val="citation"/>
          <w:sz w:val="20"/>
          <w:szCs w:val="20"/>
        </w:rPr>
        <w:t>16–26</w:t>
      </w:r>
      <w:r>
        <w:rPr>
          <w:rStyle w:val="citation"/>
          <w:sz w:val="20"/>
          <w:szCs w:val="20"/>
        </w:rPr>
        <w:t>, 2001</w:t>
      </w:r>
      <w:r w:rsidRPr="006044CF">
        <w:rPr>
          <w:rStyle w:val="citation"/>
          <w:sz w:val="20"/>
          <w:szCs w:val="20"/>
        </w:rPr>
        <w:t>.</w:t>
      </w:r>
    </w:p>
    <w:p w:rsidR="00C33A17" w:rsidRPr="006044CF" w:rsidRDefault="00C33A17" w:rsidP="00C33A17">
      <w:pPr>
        <w:spacing w:line="240" w:lineRule="auto"/>
        <w:rPr>
          <w:sz w:val="20"/>
          <w:szCs w:val="20"/>
          <w:lang w:val="en-US"/>
        </w:rPr>
      </w:pPr>
      <w:r w:rsidRPr="006044CF">
        <w:rPr>
          <w:sz w:val="20"/>
          <w:szCs w:val="20"/>
        </w:rPr>
        <w:t xml:space="preserve">HICKS R.R., </w:t>
      </w:r>
      <w:proofErr w:type="gramStart"/>
      <w:r>
        <w:rPr>
          <w:sz w:val="20"/>
          <w:szCs w:val="20"/>
        </w:rPr>
        <w:t>et</w:t>
      </w:r>
      <w:proofErr w:type="gramEnd"/>
      <w:r>
        <w:rPr>
          <w:sz w:val="20"/>
          <w:szCs w:val="20"/>
        </w:rPr>
        <w:t xml:space="preserve"> al.</w:t>
      </w:r>
      <w:r w:rsidRPr="006044CF">
        <w:rPr>
          <w:sz w:val="20"/>
          <w:szCs w:val="20"/>
        </w:rPr>
        <w:t xml:space="preserve"> </w:t>
      </w:r>
      <w:r w:rsidRPr="006044CF">
        <w:rPr>
          <w:sz w:val="20"/>
          <w:szCs w:val="20"/>
          <w:lang w:val="en-US"/>
        </w:rPr>
        <w:t>Neurological Effects of Blast Injury.</w:t>
      </w:r>
      <w:r w:rsidRPr="00261330">
        <w:rPr>
          <w:b/>
          <w:sz w:val="20"/>
          <w:szCs w:val="20"/>
          <w:lang w:val="en-US"/>
        </w:rPr>
        <w:t xml:space="preserve"> </w:t>
      </w:r>
      <w:proofErr w:type="gramStart"/>
      <w:r w:rsidRPr="00261330">
        <w:rPr>
          <w:b/>
          <w:iCs/>
          <w:sz w:val="20"/>
          <w:szCs w:val="20"/>
          <w:lang w:val="en-US"/>
        </w:rPr>
        <w:t>The Journal of trauma</w:t>
      </w:r>
      <w:r w:rsidRPr="00261330">
        <w:rPr>
          <w:b/>
          <w:sz w:val="20"/>
          <w:szCs w:val="20"/>
          <w:lang w:val="en-US"/>
        </w:rPr>
        <w:t>.</w:t>
      </w:r>
      <w:proofErr w:type="gramEnd"/>
      <w:r>
        <w:rPr>
          <w:sz w:val="20"/>
          <w:szCs w:val="20"/>
          <w:lang w:val="en-US"/>
        </w:rPr>
        <w:t xml:space="preserve"> v.68</w:t>
      </w:r>
      <w:proofErr w:type="gramStart"/>
      <w:r>
        <w:rPr>
          <w:sz w:val="20"/>
          <w:szCs w:val="20"/>
          <w:lang w:val="en-US"/>
        </w:rPr>
        <w:t>,n.5</w:t>
      </w:r>
      <w:proofErr w:type="gramEnd"/>
      <w:r>
        <w:rPr>
          <w:sz w:val="20"/>
          <w:szCs w:val="20"/>
          <w:lang w:val="en-US"/>
        </w:rPr>
        <w:t>, p.1257-1263,2010.</w:t>
      </w:r>
    </w:p>
    <w:p w:rsidR="00C33A17" w:rsidRPr="006044CF" w:rsidRDefault="00C33A17" w:rsidP="00C33A17">
      <w:pPr>
        <w:spacing w:line="240" w:lineRule="auto"/>
        <w:rPr>
          <w:sz w:val="20"/>
          <w:szCs w:val="20"/>
        </w:rPr>
      </w:pPr>
      <w:r w:rsidRPr="006044CF">
        <w:rPr>
          <w:sz w:val="20"/>
          <w:szCs w:val="20"/>
          <w:lang w:val="en-US"/>
        </w:rPr>
        <w:t xml:space="preserve">SHAMOUN-BARANES J., </w:t>
      </w:r>
      <w:r>
        <w:rPr>
          <w:sz w:val="20"/>
          <w:szCs w:val="20"/>
          <w:lang w:val="en-US"/>
        </w:rPr>
        <w:t>et al</w:t>
      </w:r>
      <w:r w:rsidRPr="006044CF">
        <w:rPr>
          <w:sz w:val="20"/>
          <w:szCs w:val="20"/>
          <w:lang w:val="en-US"/>
        </w:rPr>
        <w:t xml:space="preserve">. Birds flee en mass from </w:t>
      </w:r>
      <w:proofErr w:type="gramStart"/>
      <w:r w:rsidRPr="006044CF">
        <w:rPr>
          <w:sz w:val="20"/>
          <w:szCs w:val="20"/>
          <w:lang w:val="en-US"/>
        </w:rPr>
        <w:t>New</w:t>
      </w:r>
      <w:proofErr w:type="gramEnd"/>
      <w:r w:rsidRPr="006044CF">
        <w:rPr>
          <w:sz w:val="20"/>
          <w:szCs w:val="20"/>
          <w:lang w:val="en-US"/>
        </w:rPr>
        <w:t xml:space="preserve"> Year’s Eve fireworks. </w:t>
      </w:r>
      <w:proofErr w:type="spellStart"/>
      <w:r w:rsidRPr="00F05CB0">
        <w:rPr>
          <w:b/>
          <w:sz w:val="20"/>
          <w:szCs w:val="20"/>
        </w:rPr>
        <w:t>Behavioral</w:t>
      </w:r>
      <w:proofErr w:type="spellEnd"/>
      <w:r w:rsidRPr="00F05CB0">
        <w:rPr>
          <w:b/>
          <w:sz w:val="20"/>
          <w:szCs w:val="20"/>
        </w:rPr>
        <w:t xml:space="preserve"> </w:t>
      </w:r>
      <w:proofErr w:type="spellStart"/>
      <w:r w:rsidRPr="00F05CB0">
        <w:rPr>
          <w:b/>
          <w:sz w:val="20"/>
          <w:szCs w:val="20"/>
        </w:rPr>
        <w:t>Ecology</w:t>
      </w:r>
      <w:proofErr w:type="spellEnd"/>
      <w:r w:rsidRPr="006044CF">
        <w:rPr>
          <w:sz w:val="20"/>
          <w:szCs w:val="20"/>
        </w:rPr>
        <w:t xml:space="preserve">. </w:t>
      </w:r>
      <w:proofErr w:type="gramStart"/>
      <w:r>
        <w:rPr>
          <w:sz w:val="20"/>
          <w:szCs w:val="20"/>
        </w:rPr>
        <w:t>v.</w:t>
      </w:r>
      <w:proofErr w:type="gramEnd"/>
      <w:r>
        <w:rPr>
          <w:sz w:val="20"/>
          <w:szCs w:val="20"/>
        </w:rPr>
        <w:t>22, n., p.</w:t>
      </w:r>
      <w:r w:rsidRPr="006044CF">
        <w:rPr>
          <w:sz w:val="20"/>
          <w:szCs w:val="20"/>
        </w:rPr>
        <w:t>1173-</w:t>
      </w:r>
      <w:r>
        <w:rPr>
          <w:sz w:val="20"/>
          <w:szCs w:val="20"/>
        </w:rPr>
        <w:t>117</w:t>
      </w:r>
      <w:r w:rsidRPr="006044CF">
        <w:rPr>
          <w:sz w:val="20"/>
          <w:szCs w:val="20"/>
        </w:rPr>
        <w:t>7</w:t>
      </w:r>
      <w:r>
        <w:rPr>
          <w:sz w:val="20"/>
          <w:szCs w:val="20"/>
        </w:rPr>
        <w:t>, 2011</w:t>
      </w:r>
      <w:r w:rsidRPr="006044CF">
        <w:rPr>
          <w:sz w:val="20"/>
          <w:szCs w:val="20"/>
        </w:rPr>
        <w:t>.</w:t>
      </w:r>
    </w:p>
    <w:p w:rsidR="00C33A17" w:rsidRPr="006044CF" w:rsidRDefault="00C33A17" w:rsidP="00C33A17">
      <w:pPr>
        <w:spacing w:line="240" w:lineRule="auto"/>
        <w:rPr>
          <w:sz w:val="20"/>
          <w:szCs w:val="20"/>
        </w:rPr>
      </w:pPr>
      <w:r w:rsidRPr="006044CF">
        <w:rPr>
          <w:sz w:val="20"/>
          <w:szCs w:val="20"/>
        </w:rPr>
        <w:t xml:space="preserve">SILVA JUNIOR, Nilson Nunes </w:t>
      </w:r>
      <w:proofErr w:type="gramStart"/>
      <w:r w:rsidRPr="006044CF">
        <w:rPr>
          <w:sz w:val="20"/>
          <w:szCs w:val="20"/>
        </w:rPr>
        <w:t>da.</w:t>
      </w:r>
      <w:proofErr w:type="gramEnd"/>
      <w:r w:rsidRPr="006044CF">
        <w:rPr>
          <w:sz w:val="20"/>
          <w:szCs w:val="20"/>
        </w:rPr>
        <w:t xml:space="preserve"> Liberdade de crença religiosa na Constituição de 1988. </w:t>
      </w:r>
      <w:r w:rsidRPr="00566E2D">
        <w:rPr>
          <w:rStyle w:val="Forte"/>
          <w:sz w:val="20"/>
          <w:szCs w:val="20"/>
        </w:rPr>
        <w:t xml:space="preserve">Âmbito </w:t>
      </w:r>
      <w:proofErr w:type="spellStart"/>
      <w:proofErr w:type="gramStart"/>
      <w:r w:rsidRPr="00566E2D">
        <w:rPr>
          <w:rStyle w:val="Forte"/>
          <w:sz w:val="20"/>
          <w:szCs w:val="20"/>
        </w:rPr>
        <w:t>Jurídico</w:t>
      </w:r>
      <w:r>
        <w:rPr>
          <w:sz w:val="20"/>
          <w:szCs w:val="20"/>
        </w:rPr>
        <w:t>.</w:t>
      </w:r>
      <w:proofErr w:type="gramEnd"/>
      <w:r>
        <w:rPr>
          <w:sz w:val="20"/>
          <w:szCs w:val="20"/>
        </w:rPr>
        <w:t>v.XIII</w:t>
      </w:r>
      <w:proofErr w:type="spellEnd"/>
      <w:r>
        <w:rPr>
          <w:sz w:val="20"/>
          <w:szCs w:val="20"/>
        </w:rPr>
        <w:t>, n.</w:t>
      </w:r>
      <w:r w:rsidRPr="006044CF">
        <w:rPr>
          <w:sz w:val="20"/>
          <w:szCs w:val="20"/>
        </w:rPr>
        <w:t>72,</w:t>
      </w:r>
      <w:r>
        <w:rPr>
          <w:sz w:val="20"/>
          <w:szCs w:val="20"/>
        </w:rPr>
        <w:t>p.,</w:t>
      </w:r>
      <w:r w:rsidRPr="006044CF">
        <w:rPr>
          <w:sz w:val="20"/>
          <w:szCs w:val="20"/>
        </w:rPr>
        <w:t xml:space="preserve">2010. </w:t>
      </w:r>
    </w:p>
    <w:p w:rsidR="00C33A17" w:rsidRPr="006044CF" w:rsidRDefault="00C33A17" w:rsidP="00C33A17">
      <w:pPr>
        <w:spacing w:line="240" w:lineRule="auto"/>
        <w:rPr>
          <w:sz w:val="20"/>
          <w:szCs w:val="20"/>
        </w:rPr>
      </w:pPr>
      <w:r w:rsidRPr="006044CF">
        <w:rPr>
          <w:sz w:val="20"/>
          <w:szCs w:val="20"/>
        </w:rPr>
        <w:t>XXXXXXXXX</w:t>
      </w:r>
      <w:proofErr w:type="gramStart"/>
      <w:r w:rsidRPr="006044CF">
        <w:rPr>
          <w:sz w:val="20"/>
          <w:szCs w:val="20"/>
        </w:rPr>
        <w:t xml:space="preserve">  </w:t>
      </w:r>
      <w:proofErr w:type="spellStart"/>
      <w:proofErr w:type="gramEnd"/>
      <w:r w:rsidRPr="00B67EF8">
        <w:rPr>
          <w:b/>
          <w:sz w:val="20"/>
          <w:szCs w:val="20"/>
        </w:rPr>
        <w:t>Blast</w:t>
      </w:r>
      <w:proofErr w:type="spellEnd"/>
      <w:r w:rsidRPr="00B67EF8">
        <w:rPr>
          <w:b/>
          <w:sz w:val="20"/>
          <w:szCs w:val="20"/>
        </w:rPr>
        <w:t xml:space="preserve"> – Efeitos da Onda de Choque no Ser Humano e nas Estruturas.</w:t>
      </w:r>
      <w:r w:rsidRPr="006044CF">
        <w:rPr>
          <w:sz w:val="20"/>
          <w:szCs w:val="20"/>
        </w:rPr>
        <w:t xml:space="preserve"> </w:t>
      </w:r>
      <w:r>
        <w:rPr>
          <w:sz w:val="20"/>
          <w:szCs w:val="20"/>
        </w:rPr>
        <w:t xml:space="preserve">São José dos Campos, </w:t>
      </w:r>
      <w:r w:rsidRPr="006044CF">
        <w:rPr>
          <w:sz w:val="20"/>
          <w:szCs w:val="20"/>
        </w:rPr>
        <w:t xml:space="preserve">2007. 107f. </w:t>
      </w:r>
      <w:r>
        <w:rPr>
          <w:sz w:val="20"/>
          <w:szCs w:val="20"/>
        </w:rPr>
        <w:t>Dissertação</w:t>
      </w:r>
      <w:r w:rsidRPr="006044CF">
        <w:rPr>
          <w:sz w:val="20"/>
          <w:szCs w:val="20"/>
        </w:rPr>
        <w:t xml:space="preserve"> </w:t>
      </w:r>
      <w:r>
        <w:rPr>
          <w:sz w:val="20"/>
          <w:szCs w:val="20"/>
        </w:rPr>
        <w:t>(</w:t>
      </w:r>
      <w:r w:rsidRPr="006044CF">
        <w:rPr>
          <w:sz w:val="20"/>
          <w:szCs w:val="20"/>
        </w:rPr>
        <w:t>Mestrado</w:t>
      </w:r>
      <w:r>
        <w:rPr>
          <w:sz w:val="20"/>
          <w:szCs w:val="20"/>
        </w:rPr>
        <w:t>)</w:t>
      </w:r>
      <w:r w:rsidRPr="006044CF">
        <w:rPr>
          <w:sz w:val="20"/>
          <w:szCs w:val="20"/>
        </w:rPr>
        <w:t xml:space="preserve"> – Instituto Tecnológico de Aero</w:t>
      </w:r>
      <w:r>
        <w:rPr>
          <w:sz w:val="20"/>
          <w:szCs w:val="20"/>
        </w:rPr>
        <w:t>náutica.</w:t>
      </w:r>
    </w:p>
    <w:p w:rsidR="001D2633" w:rsidRPr="00BD2918" w:rsidRDefault="001D2633" w:rsidP="00BD2918">
      <w:pPr>
        <w:spacing w:line="240" w:lineRule="auto"/>
        <w:rPr>
          <w:sz w:val="20"/>
          <w:szCs w:val="22"/>
        </w:rPr>
      </w:pPr>
    </w:p>
    <w:sectPr w:rsidR="001D2633" w:rsidRPr="00BD2918" w:rsidSect="003037F9">
      <w:headerReference w:type="default" r:id="rId14"/>
      <w:footerReference w:type="default" r:id="rId15"/>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1B" w:rsidRDefault="00F72A1B" w:rsidP="003752F7">
      <w:pPr>
        <w:spacing w:line="240" w:lineRule="auto"/>
      </w:pPr>
      <w:r>
        <w:separator/>
      </w:r>
    </w:p>
  </w:endnote>
  <w:endnote w:type="continuationSeparator" w:id="0">
    <w:p w:rsidR="00F72A1B" w:rsidRDefault="00F72A1B"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F56E3C">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1B" w:rsidRDefault="00F72A1B" w:rsidP="003752F7">
      <w:pPr>
        <w:spacing w:line="240" w:lineRule="auto"/>
      </w:pPr>
      <w:r>
        <w:separator/>
      </w:r>
    </w:p>
  </w:footnote>
  <w:footnote w:type="continuationSeparator" w:id="0">
    <w:p w:rsidR="00F72A1B" w:rsidRDefault="00F72A1B"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953C98"/>
    <w:multiLevelType w:val="hybridMultilevel"/>
    <w:tmpl w:val="D4A8F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411F"/>
    <w:rsid w:val="000050E6"/>
    <w:rsid w:val="00007771"/>
    <w:rsid w:val="000110B8"/>
    <w:rsid w:val="000141D6"/>
    <w:rsid w:val="00014DC9"/>
    <w:rsid w:val="00026BC8"/>
    <w:rsid w:val="00042E0A"/>
    <w:rsid w:val="00043C0D"/>
    <w:rsid w:val="00051A3B"/>
    <w:rsid w:val="00053737"/>
    <w:rsid w:val="00053FCD"/>
    <w:rsid w:val="0006128A"/>
    <w:rsid w:val="00080175"/>
    <w:rsid w:val="00090BA6"/>
    <w:rsid w:val="000B38F5"/>
    <w:rsid w:val="000C67DF"/>
    <w:rsid w:val="000C6C07"/>
    <w:rsid w:val="000D64F7"/>
    <w:rsid w:val="000E490F"/>
    <w:rsid w:val="000E62DA"/>
    <w:rsid w:val="001052AA"/>
    <w:rsid w:val="001134AD"/>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106F"/>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87D61"/>
    <w:rsid w:val="003928AB"/>
    <w:rsid w:val="003D455E"/>
    <w:rsid w:val="003E761E"/>
    <w:rsid w:val="003F0931"/>
    <w:rsid w:val="003F3717"/>
    <w:rsid w:val="003F6A7C"/>
    <w:rsid w:val="00423161"/>
    <w:rsid w:val="00425FB9"/>
    <w:rsid w:val="004264DD"/>
    <w:rsid w:val="004422C8"/>
    <w:rsid w:val="00442AB9"/>
    <w:rsid w:val="00460049"/>
    <w:rsid w:val="004600AE"/>
    <w:rsid w:val="00460CF2"/>
    <w:rsid w:val="0047225A"/>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61853"/>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256A3"/>
    <w:rsid w:val="00733C52"/>
    <w:rsid w:val="00734E3C"/>
    <w:rsid w:val="00746985"/>
    <w:rsid w:val="00750E48"/>
    <w:rsid w:val="00755A52"/>
    <w:rsid w:val="0078302E"/>
    <w:rsid w:val="00784AD1"/>
    <w:rsid w:val="0079623C"/>
    <w:rsid w:val="007A109C"/>
    <w:rsid w:val="007C3640"/>
    <w:rsid w:val="007C522E"/>
    <w:rsid w:val="007D0DBB"/>
    <w:rsid w:val="007E2E1A"/>
    <w:rsid w:val="007E7FE8"/>
    <w:rsid w:val="0080108D"/>
    <w:rsid w:val="008039FA"/>
    <w:rsid w:val="00804B34"/>
    <w:rsid w:val="00805146"/>
    <w:rsid w:val="00811620"/>
    <w:rsid w:val="00813F18"/>
    <w:rsid w:val="00817160"/>
    <w:rsid w:val="00821CAD"/>
    <w:rsid w:val="00824730"/>
    <w:rsid w:val="00832F16"/>
    <w:rsid w:val="008572CF"/>
    <w:rsid w:val="00857E91"/>
    <w:rsid w:val="00860EDC"/>
    <w:rsid w:val="00885ABD"/>
    <w:rsid w:val="008949B2"/>
    <w:rsid w:val="00894F36"/>
    <w:rsid w:val="008A60C7"/>
    <w:rsid w:val="008B5B05"/>
    <w:rsid w:val="008D7AB4"/>
    <w:rsid w:val="008E05E2"/>
    <w:rsid w:val="008E2991"/>
    <w:rsid w:val="00910D22"/>
    <w:rsid w:val="0091555F"/>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D1049"/>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452C"/>
    <w:rsid w:val="00BF6353"/>
    <w:rsid w:val="00C11825"/>
    <w:rsid w:val="00C1748C"/>
    <w:rsid w:val="00C26C44"/>
    <w:rsid w:val="00C33A17"/>
    <w:rsid w:val="00C630D3"/>
    <w:rsid w:val="00C86D3A"/>
    <w:rsid w:val="00C92FC6"/>
    <w:rsid w:val="00C92FFA"/>
    <w:rsid w:val="00CA7450"/>
    <w:rsid w:val="00CC0AEB"/>
    <w:rsid w:val="00CC6B7D"/>
    <w:rsid w:val="00CC7593"/>
    <w:rsid w:val="00CE4C43"/>
    <w:rsid w:val="00CE6D58"/>
    <w:rsid w:val="00CF0B20"/>
    <w:rsid w:val="00CF3290"/>
    <w:rsid w:val="00CF5D2A"/>
    <w:rsid w:val="00D0119C"/>
    <w:rsid w:val="00D026FA"/>
    <w:rsid w:val="00D03AB2"/>
    <w:rsid w:val="00D07C04"/>
    <w:rsid w:val="00D10B37"/>
    <w:rsid w:val="00D31E9E"/>
    <w:rsid w:val="00D348C0"/>
    <w:rsid w:val="00D4614A"/>
    <w:rsid w:val="00D55EBC"/>
    <w:rsid w:val="00D6094C"/>
    <w:rsid w:val="00D66DB9"/>
    <w:rsid w:val="00D7559F"/>
    <w:rsid w:val="00D83186"/>
    <w:rsid w:val="00D85888"/>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56E3C"/>
    <w:rsid w:val="00F6162F"/>
    <w:rsid w:val="00F719FD"/>
    <w:rsid w:val="00F72A1B"/>
    <w:rsid w:val="00F80578"/>
    <w:rsid w:val="00F80A2A"/>
    <w:rsid w:val="00F90DCE"/>
    <w:rsid w:val="00FB34C0"/>
    <w:rsid w:val="00FB6D6C"/>
    <w:rsid w:val="00FC2E7B"/>
    <w:rsid w:val="00FC3308"/>
    <w:rsid w:val="00FC71F5"/>
    <w:rsid w:val="00FC782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3A17"/>
    <w:rPr>
      <w:b/>
      <w:bCs/>
    </w:rPr>
  </w:style>
  <w:style w:type="character" w:customStyle="1" w:styleId="citation">
    <w:name w:val="citation"/>
    <w:basedOn w:val="Fontepargpadro"/>
    <w:rsid w:val="00C33A17"/>
  </w:style>
  <w:style w:type="character" w:customStyle="1" w:styleId="ref-journal">
    <w:name w:val="ref-journal"/>
    <w:basedOn w:val="Fontepargpadro"/>
    <w:rsid w:val="00C33A17"/>
  </w:style>
  <w:style w:type="character" w:customStyle="1" w:styleId="ref-vol">
    <w:name w:val="ref-vol"/>
    <w:basedOn w:val="Fontepargpadro"/>
    <w:rsid w:val="00C3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3A17"/>
    <w:rPr>
      <w:b/>
      <w:bCs/>
    </w:rPr>
  </w:style>
  <w:style w:type="character" w:customStyle="1" w:styleId="citation">
    <w:name w:val="citation"/>
    <w:basedOn w:val="Fontepargpadro"/>
    <w:rsid w:val="00C33A17"/>
  </w:style>
  <w:style w:type="character" w:customStyle="1" w:styleId="ref-journal">
    <w:name w:val="ref-journal"/>
    <w:basedOn w:val="Fontepargpadro"/>
    <w:rsid w:val="00C33A17"/>
  </w:style>
  <w:style w:type="character" w:customStyle="1" w:styleId="ref-vol">
    <w:name w:val="ref-vol"/>
    <w:basedOn w:val="Fontepargpadro"/>
    <w:rsid w:val="00C3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d366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_ato2007-2010/2008/decreto/d651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4A2B4-DB2F-4B0F-B985-B0505A57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Attitude 3</cp:lastModifiedBy>
  <cp:revision>2</cp:revision>
  <cp:lastPrinted>2013-03-17T11:48:00Z</cp:lastPrinted>
  <dcterms:created xsi:type="dcterms:W3CDTF">2017-07-20T12:34:00Z</dcterms:created>
  <dcterms:modified xsi:type="dcterms:W3CDTF">2017-07-20T12:34:00Z</dcterms:modified>
</cp:coreProperties>
</file>