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C9" w:rsidRPr="00706E0D" w:rsidRDefault="00806386" w:rsidP="003270C9">
      <w:pPr>
        <w:jc w:val="center"/>
        <w:rPr>
          <w:b/>
          <w:caps/>
          <w:szCs w:val="24"/>
        </w:rPr>
      </w:pPr>
      <w:r>
        <w:rPr>
          <w:b/>
          <w:caps/>
          <w:szCs w:val="24"/>
        </w:rPr>
        <w:t>IN</w:t>
      </w:r>
      <w:r w:rsidR="000F4872">
        <w:rPr>
          <w:b/>
          <w:caps/>
          <w:szCs w:val="24"/>
        </w:rPr>
        <w:t>VERSÃO SEXUAL</w:t>
      </w:r>
      <w:r w:rsidR="006412FD" w:rsidRPr="006412FD">
        <w:rPr>
          <w:b/>
          <w:caps/>
          <w:szCs w:val="24"/>
        </w:rPr>
        <w:t xml:space="preserve"> de </w:t>
      </w:r>
      <w:proofErr w:type="spellStart"/>
      <w:r w:rsidR="006412FD" w:rsidRPr="006412FD">
        <w:rPr>
          <w:b/>
          <w:i/>
          <w:szCs w:val="24"/>
        </w:rPr>
        <w:t>Rhamdia</w:t>
      </w:r>
      <w:proofErr w:type="spellEnd"/>
      <w:r w:rsidR="006412FD" w:rsidRPr="006412FD">
        <w:rPr>
          <w:b/>
          <w:i/>
          <w:szCs w:val="24"/>
        </w:rPr>
        <w:t xml:space="preserve"> </w:t>
      </w:r>
      <w:proofErr w:type="spellStart"/>
      <w:r w:rsidR="006412FD" w:rsidRPr="006412FD">
        <w:rPr>
          <w:b/>
          <w:i/>
          <w:szCs w:val="24"/>
        </w:rPr>
        <w:t>quelen</w:t>
      </w:r>
      <w:proofErr w:type="spellEnd"/>
      <w:r w:rsidR="006412FD">
        <w:rPr>
          <w:b/>
          <w:caps/>
          <w:szCs w:val="24"/>
        </w:rPr>
        <w:t xml:space="preserve"> (Quoy &amp; Gaimard</w:t>
      </w:r>
      <w:r w:rsidR="006412FD" w:rsidRPr="006412FD">
        <w:rPr>
          <w:b/>
          <w:caps/>
          <w:szCs w:val="24"/>
        </w:rPr>
        <w:t xml:space="preserve">) </w:t>
      </w:r>
      <w:r w:rsidR="000F4872">
        <w:rPr>
          <w:b/>
          <w:caps/>
          <w:szCs w:val="24"/>
        </w:rPr>
        <w:br/>
      </w:r>
      <w:r w:rsidR="006412FD" w:rsidRPr="006412FD">
        <w:rPr>
          <w:b/>
          <w:caps/>
          <w:szCs w:val="24"/>
        </w:rPr>
        <w:t>com 17</w:t>
      </w:r>
      <w:r w:rsidR="006412FD">
        <w:rPr>
          <w:b/>
          <w:szCs w:val="24"/>
        </w:rPr>
        <w:t>α</w:t>
      </w:r>
      <w:r w:rsidR="006412FD" w:rsidRPr="006412FD">
        <w:rPr>
          <w:b/>
          <w:caps/>
          <w:szCs w:val="24"/>
        </w:rPr>
        <w:t xml:space="preserve">-metiltestosterona </w:t>
      </w:r>
    </w:p>
    <w:p w:rsidR="00C428DA" w:rsidRDefault="00516A47" w:rsidP="00C428DA">
      <w:pPr>
        <w:spacing w:after="0" w:line="240" w:lineRule="auto"/>
        <w:jc w:val="center"/>
        <w:rPr>
          <w:rFonts w:eastAsia="Times New Roman"/>
          <w:b/>
          <w:szCs w:val="24"/>
          <w:vertAlign w:val="superscript"/>
          <w:lang w:eastAsia="pt-BR"/>
        </w:rPr>
      </w:pPr>
      <w:r>
        <w:rPr>
          <w:rFonts w:eastAsia="Times New Roman"/>
          <w:b/>
          <w:szCs w:val="24"/>
          <w:lang w:eastAsia="pt-BR"/>
        </w:rPr>
        <w:t>Luciano Augusto Weiss</w:t>
      </w:r>
      <w:r w:rsidR="00C428DA" w:rsidRPr="008332CB">
        <w:rPr>
          <w:rFonts w:eastAsia="Times New Roman"/>
          <w:b/>
          <w:szCs w:val="24"/>
          <w:vertAlign w:val="superscript"/>
          <w:lang w:eastAsia="pt-BR"/>
        </w:rPr>
        <w:t>1</w:t>
      </w:r>
      <w:r>
        <w:rPr>
          <w:rFonts w:eastAsia="Times New Roman"/>
          <w:b/>
          <w:szCs w:val="24"/>
          <w:vertAlign w:val="superscript"/>
          <w:lang w:eastAsia="pt-BR"/>
        </w:rPr>
        <w:t>*</w:t>
      </w:r>
      <w:r w:rsidR="00C428DA">
        <w:rPr>
          <w:rFonts w:eastAsia="Times New Roman"/>
          <w:b/>
          <w:szCs w:val="24"/>
          <w:lang w:eastAsia="pt-BR"/>
        </w:rPr>
        <w:t xml:space="preserve">; </w:t>
      </w:r>
      <w:r>
        <w:rPr>
          <w:rFonts w:eastAsia="Times New Roman"/>
          <w:b/>
          <w:szCs w:val="24"/>
          <w:lang w:eastAsia="pt-BR"/>
        </w:rPr>
        <w:t>Alex Pires de Oliveira Nuñer</w:t>
      </w:r>
      <w:r w:rsidR="00C428DA" w:rsidRPr="008332CB">
        <w:rPr>
          <w:rFonts w:eastAsia="Times New Roman"/>
          <w:b/>
          <w:szCs w:val="24"/>
          <w:vertAlign w:val="superscript"/>
          <w:lang w:eastAsia="pt-BR"/>
        </w:rPr>
        <w:t>2</w:t>
      </w:r>
    </w:p>
    <w:p w:rsidR="00C428DA" w:rsidRPr="00167185" w:rsidRDefault="00C428DA" w:rsidP="00C428DA">
      <w:pPr>
        <w:spacing w:after="0" w:line="240" w:lineRule="auto"/>
        <w:jc w:val="center"/>
        <w:rPr>
          <w:rFonts w:eastAsia="Times New Roman"/>
          <w:b/>
          <w:szCs w:val="24"/>
          <w:lang w:eastAsia="pt-BR"/>
        </w:rPr>
      </w:pPr>
    </w:p>
    <w:p w:rsidR="00C428DA" w:rsidRPr="00E26FA9" w:rsidRDefault="00C428DA" w:rsidP="00C428DA">
      <w:pPr>
        <w:autoSpaceDE w:val="0"/>
        <w:autoSpaceDN w:val="0"/>
        <w:adjustRightInd w:val="0"/>
        <w:spacing w:after="0" w:line="240" w:lineRule="auto"/>
        <w:jc w:val="both"/>
        <w:rPr>
          <w:sz w:val="20"/>
          <w:szCs w:val="20"/>
        </w:rPr>
      </w:pPr>
      <w:r>
        <w:rPr>
          <w:sz w:val="20"/>
          <w:szCs w:val="20"/>
          <w:vertAlign w:val="superscript"/>
        </w:rPr>
        <w:t>1</w:t>
      </w:r>
      <w:r w:rsidR="00F0669A">
        <w:rPr>
          <w:sz w:val="20"/>
          <w:szCs w:val="20"/>
          <w:vertAlign w:val="superscript"/>
        </w:rPr>
        <w:t>*</w:t>
      </w:r>
      <w:r w:rsidR="00A30D82">
        <w:rPr>
          <w:sz w:val="20"/>
          <w:szCs w:val="20"/>
        </w:rPr>
        <w:t>luciano@lapad.ufsc.br</w:t>
      </w:r>
      <w:r w:rsidRPr="008332CB">
        <w:rPr>
          <w:sz w:val="20"/>
          <w:szCs w:val="20"/>
        </w:rPr>
        <w:t xml:space="preserve">. </w:t>
      </w:r>
      <w:r w:rsidR="00A30D82">
        <w:rPr>
          <w:sz w:val="20"/>
          <w:szCs w:val="20"/>
        </w:rPr>
        <w:t>Doutor em Aquicultura/</w:t>
      </w:r>
      <w:r w:rsidR="00A30D82" w:rsidRPr="00A30D82">
        <w:rPr>
          <w:sz w:val="20"/>
          <w:szCs w:val="20"/>
        </w:rPr>
        <w:t>PPG-AQI</w:t>
      </w:r>
      <w:r w:rsidR="00A30D82">
        <w:rPr>
          <w:sz w:val="20"/>
          <w:szCs w:val="20"/>
        </w:rPr>
        <w:t xml:space="preserve"> UFSC</w:t>
      </w:r>
      <w:r>
        <w:rPr>
          <w:sz w:val="20"/>
          <w:szCs w:val="20"/>
        </w:rPr>
        <w:t xml:space="preserve">. </w:t>
      </w:r>
      <w:r w:rsidR="00A30D82">
        <w:rPr>
          <w:sz w:val="20"/>
          <w:szCs w:val="20"/>
          <w:vertAlign w:val="superscript"/>
        </w:rPr>
        <w:t>2</w:t>
      </w:r>
      <w:r w:rsidR="00A30D82" w:rsidRPr="00A30D82">
        <w:rPr>
          <w:sz w:val="20"/>
          <w:szCs w:val="20"/>
        </w:rPr>
        <w:t>alex.nuner@ufsc.br</w:t>
      </w:r>
      <w:r>
        <w:rPr>
          <w:sz w:val="20"/>
          <w:szCs w:val="20"/>
        </w:rPr>
        <w:t xml:space="preserve">. </w:t>
      </w:r>
      <w:r w:rsidR="00A30D82">
        <w:rPr>
          <w:sz w:val="20"/>
          <w:szCs w:val="20"/>
        </w:rPr>
        <w:t>Doutor</w:t>
      </w:r>
      <w:r w:rsidR="00A30D82" w:rsidRPr="00A30D82">
        <w:rPr>
          <w:sz w:val="20"/>
          <w:szCs w:val="20"/>
        </w:rPr>
        <w:t xml:space="preserve"> </w:t>
      </w:r>
      <w:r w:rsidR="00A30D82">
        <w:rPr>
          <w:sz w:val="20"/>
          <w:szCs w:val="20"/>
        </w:rPr>
        <w:t xml:space="preserve">em Ecologia e Recursos Naturais/UFSCAR </w:t>
      </w:r>
      <w:r w:rsidR="00E71FB4">
        <w:rPr>
          <w:sz w:val="20"/>
          <w:szCs w:val="20"/>
        </w:rPr>
        <w:t>e</w:t>
      </w:r>
      <w:r w:rsidR="00A30D82" w:rsidRPr="00A30D82">
        <w:rPr>
          <w:sz w:val="20"/>
          <w:szCs w:val="20"/>
        </w:rPr>
        <w:t xml:space="preserve"> Professor Titular</w:t>
      </w:r>
      <w:r w:rsidR="00A30D82">
        <w:rPr>
          <w:sz w:val="20"/>
          <w:szCs w:val="20"/>
        </w:rPr>
        <w:t>/AQI-CCA UFSC</w:t>
      </w:r>
      <w:r>
        <w:rPr>
          <w:sz w:val="20"/>
          <w:szCs w:val="20"/>
        </w:rPr>
        <w:t>.</w:t>
      </w:r>
      <w:r w:rsidRPr="00E26FA9">
        <w:rPr>
          <w:sz w:val="20"/>
          <w:szCs w:val="20"/>
        </w:rPr>
        <w:t xml:space="preserve"> </w:t>
      </w: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706E0D" w:rsidRDefault="00A34330" w:rsidP="00706E0D">
      <w:pPr>
        <w:tabs>
          <w:tab w:val="left" w:pos="4140"/>
        </w:tabs>
        <w:spacing w:after="0" w:line="240" w:lineRule="auto"/>
        <w:jc w:val="both"/>
        <w:rPr>
          <w:color w:val="000000"/>
        </w:rPr>
      </w:pPr>
      <w:r w:rsidRPr="00927978">
        <w:rPr>
          <w:szCs w:val="24"/>
        </w:rPr>
        <w:t xml:space="preserve">O cultivo </w:t>
      </w:r>
      <w:proofErr w:type="spellStart"/>
      <w:r w:rsidRPr="00927978">
        <w:rPr>
          <w:szCs w:val="24"/>
        </w:rPr>
        <w:t>monosexo</w:t>
      </w:r>
      <w:proofErr w:type="spellEnd"/>
      <w:r w:rsidRPr="00927978">
        <w:rPr>
          <w:szCs w:val="24"/>
        </w:rPr>
        <w:t xml:space="preserve"> feminino é indicado para </w:t>
      </w:r>
      <w:proofErr w:type="spellStart"/>
      <w:r w:rsidRPr="00927978">
        <w:rPr>
          <w:i/>
          <w:szCs w:val="24"/>
        </w:rPr>
        <w:t>Rhamdia</w:t>
      </w:r>
      <w:proofErr w:type="spellEnd"/>
      <w:r w:rsidRPr="00927978">
        <w:rPr>
          <w:i/>
          <w:szCs w:val="24"/>
        </w:rPr>
        <w:t xml:space="preserve"> </w:t>
      </w:r>
      <w:proofErr w:type="spellStart"/>
      <w:r w:rsidRPr="00927978">
        <w:rPr>
          <w:i/>
          <w:szCs w:val="24"/>
        </w:rPr>
        <w:t>quelen</w:t>
      </w:r>
      <w:proofErr w:type="spellEnd"/>
      <w:r w:rsidRPr="00927978">
        <w:rPr>
          <w:szCs w:val="24"/>
        </w:rPr>
        <w:t xml:space="preserve"> devido ao maior crescimento das fêmeas</w:t>
      </w:r>
      <w:r w:rsidR="000F4872">
        <w:rPr>
          <w:szCs w:val="24"/>
        </w:rPr>
        <w:t xml:space="preserve"> e maturação </w:t>
      </w:r>
      <w:r w:rsidR="00F0669A">
        <w:rPr>
          <w:szCs w:val="24"/>
        </w:rPr>
        <w:t xml:space="preserve">sexual </w:t>
      </w:r>
      <w:r w:rsidR="000F4872">
        <w:rPr>
          <w:szCs w:val="24"/>
        </w:rPr>
        <w:t>precoce dos machos durante o ciclo de produção</w:t>
      </w:r>
      <w:r w:rsidRPr="00927978">
        <w:rPr>
          <w:szCs w:val="24"/>
        </w:rPr>
        <w:t xml:space="preserve">. Proles femininas livres de hormônio </w:t>
      </w:r>
      <w:r>
        <w:rPr>
          <w:szCs w:val="24"/>
        </w:rPr>
        <w:t xml:space="preserve">exógeno </w:t>
      </w:r>
      <w:r w:rsidRPr="00927978">
        <w:rPr>
          <w:szCs w:val="24"/>
        </w:rPr>
        <w:t xml:space="preserve">podem ser </w:t>
      </w:r>
      <w:r>
        <w:rPr>
          <w:szCs w:val="24"/>
        </w:rPr>
        <w:t>produzidas</w:t>
      </w:r>
      <w:r w:rsidRPr="00927978">
        <w:rPr>
          <w:szCs w:val="24"/>
        </w:rPr>
        <w:t xml:space="preserve"> através da inversão sexual indireta, envolvendo inicialmente a </w:t>
      </w:r>
      <w:proofErr w:type="spellStart"/>
      <w:r>
        <w:rPr>
          <w:szCs w:val="24"/>
        </w:rPr>
        <w:t>masculinização</w:t>
      </w:r>
      <w:proofErr w:type="spellEnd"/>
      <w:r>
        <w:rPr>
          <w:szCs w:val="24"/>
        </w:rPr>
        <w:t xml:space="preserve"> das fêmeas </w:t>
      </w:r>
      <w:r w:rsidR="000F4872">
        <w:rPr>
          <w:szCs w:val="24"/>
        </w:rPr>
        <w:t>normais (fêmeas genotípicas e fenotípicas)</w:t>
      </w:r>
      <w:r>
        <w:rPr>
          <w:szCs w:val="24"/>
        </w:rPr>
        <w:t xml:space="preserve"> para </w:t>
      </w:r>
      <w:r w:rsidRPr="00927978">
        <w:rPr>
          <w:szCs w:val="24"/>
        </w:rPr>
        <w:t xml:space="preserve">originar reprodutores </w:t>
      </w:r>
      <w:proofErr w:type="spellStart"/>
      <w:r w:rsidRPr="00927978">
        <w:rPr>
          <w:szCs w:val="24"/>
        </w:rPr>
        <w:t>neomachos</w:t>
      </w:r>
      <w:proofErr w:type="spellEnd"/>
      <w:r w:rsidRPr="00927978">
        <w:rPr>
          <w:szCs w:val="24"/>
        </w:rPr>
        <w:t xml:space="preserve">, os quais </w:t>
      </w:r>
      <w:r w:rsidR="00DD4F57">
        <w:rPr>
          <w:szCs w:val="24"/>
        </w:rPr>
        <w:t>poderão</w:t>
      </w:r>
      <w:r w:rsidRPr="00927978">
        <w:rPr>
          <w:szCs w:val="24"/>
        </w:rPr>
        <w:t xml:space="preserve"> </w:t>
      </w:r>
      <w:r>
        <w:rPr>
          <w:szCs w:val="24"/>
        </w:rPr>
        <w:t>produzir</w:t>
      </w:r>
      <w:r w:rsidRPr="00927978">
        <w:rPr>
          <w:szCs w:val="24"/>
        </w:rPr>
        <w:t xml:space="preserve"> descendências femininas ao ser</w:t>
      </w:r>
      <w:r>
        <w:rPr>
          <w:szCs w:val="24"/>
        </w:rPr>
        <w:t xml:space="preserve">em cruzados com fêmeas normais. </w:t>
      </w:r>
      <w:r w:rsidR="00902376">
        <w:rPr>
          <w:szCs w:val="24"/>
        </w:rPr>
        <w:t>O</w:t>
      </w:r>
      <w:r>
        <w:rPr>
          <w:szCs w:val="24"/>
        </w:rPr>
        <w:t xml:space="preserve"> objetivo </w:t>
      </w:r>
      <w:r w:rsidR="00E86BBF">
        <w:rPr>
          <w:szCs w:val="24"/>
        </w:rPr>
        <w:t xml:space="preserve">do estudo </w:t>
      </w:r>
      <w:r>
        <w:rPr>
          <w:szCs w:val="24"/>
        </w:rPr>
        <w:t>foi m</w:t>
      </w:r>
      <w:r w:rsidRPr="00927978">
        <w:rPr>
          <w:szCs w:val="24"/>
        </w:rPr>
        <w:t xml:space="preserve">asculinizar fêmeas </w:t>
      </w:r>
      <w:r>
        <w:rPr>
          <w:szCs w:val="24"/>
        </w:rPr>
        <w:t xml:space="preserve">de </w:t>
      </w:r>
      <w:r w:rsidRPr="00A64D25">
        <w:rPr>
          <w:i/>
          <w:szCs w:val="24"/>
        </w:rPr>
        <w:t xml:space="preserve">R. </w:t>
      </w:r>
      <w:proofErr w:type="spellStart"/>
      <w:r w:rsidRPr="00A64D25">
        <w:rPr>
          <w:i/>
          <w:szCs w:val="24"/>
        </w:rPr>
        <w:t>quelen</w:t>
      </w:r>
      <w:proofErr w:type="spellEnd"/>
      <w:r w:rsidR="00C37B25">
        <w:rPr>
          <w:szCs w:val="24"/>
        </w:rPr>
        <w:t xml:space="preserve">, </w:t>
      </w:r>
      <w:r>
        <w:rPr>
          <w:szCs w:val="24"/>
        </w:rPr>
        <w:t xml:space="preserve">por via oral, com </w:t>
      </w:r>
      <w:r w:rsidRPr="00927978">
        <w:rPr>
          <w:szCs w:val="24"/>
        </w:rPr>
        <w:t>17α-</w:t>
      </w:r>
      <w:proofErr w:type="spellStart"/>
      <w:r w:rsidRPr="00927978">
        <w:rPr>
          <w:szCs w:val="24"/>
        </w:rPr>
        <w:t>metiltestosterona</w:t>
      </w:r>
      <w:proofErr w:type="spellEnd"/>
      <w:r w:rsidRPr="00927978">
        <w:rPr>
          <w:szCs w:val="24"/>
        </w:rPr>
        <w:t xml:space="preserve"> (MT) incorporado </w:t>
      </w:r>
      <w:r>
        <w:rPr>
          <w:szCs w:val="24"/>
        </w:rPr>
        <w:t>na</w:t>
      </w:r>
      <w:r w:rsidRPr="00927978">
        <w:rPr>
          <w:szCs w:val="24"/>
        </w:rPr>
        <w:t xml:space="preserve"> ração. Grupos de larvas receberam dietas suplementadas com MT nas doses de 60, 80 ou 100 mg/kg de ração durante 21 dias. Um grupo controle foi alimentado com dieta similar livre de hormônio. Aos 150 dias pós-eclosão, 30 peixes de cada dose foram </w:t>
      </w:r>
      <w:proofErr w:type="spellStart"/>
      <w:r w:rsidRPr="00927978">
        <w:rPr>
          <w:szCs w:val="24"/>
        </w:rPr>
        <w:t>e</w:t>
      </w:r>
      <w:r>
        <w:rPr>
          <w:szCs w:val="24"/>
        </w:rPr>
        <w:t>utanasiados</w:t>
      </w:r>
      <w:proofErr w:type="spellEnd"/>
      <w:r>
        <w:rPr>
          <w:szCs w:val="24"/>
        </w:rPr>
        <w:t xml:space="preserve"> para avaliação das </w:t>
      </w:r>
      <w:r w:rsidRPr="00927978">
        <w:rPr>
          <w:szCs w:val="24"/>
        </w:rPr>
        <w:t xml:space="preserve">gônadas através de técnicas histológicas. A inversão sexual foi observada em todas as doses, </w:t>
      </w:r>
      <w:r>
        <w:rPr>
          <w:szCs w:val="24"/>
        </w:rPr>
        <w:t>tendo sido obtidos</w:t>
      </w:r>
      <w:r w:rsidRPr="00927978">
        <w:rPr>
          <w:szCs w:val="24"/>
        </w:rPr>
        <w:t xml:space="preserve"> 50, 40 e 20% de </w:t>
      </w:r>
      <w:proofErr w:type="spellStart"/>
      <w:r w:rsidRPr="00927978">
        <w:rPr>
          <w:szCs w:val="24"/>
        </w:rPr>
        <w:t>neomachos</w:t>
      </w:r>
      <w:proofErr w:type="spellEnd"/>
      <w:r w:rsidRPr="00927978">
        <w:rPr>
          <w:szCs w:val="24"/>
        </w:rPr>
        <w:t xml:space="preserve"> nas doses </w:t>
      </w:r>
      <w:r w:rsidR="00383B9C">
        <w:rPr>
          <w:szCs w:val="24"/>
        </w:rPr>
        <w:t xml:space="preserve">de MT </w:t>
      </w:r>
      <w:r w:rsidRPr="00927978">
        <w:rPr>
          <w:szCs w:val="24"/>
        </w:rPr>
        <w:t xml:space="preserve">60, 80 e 100 mg/kg de ração, respectivamente. Gônadas intersexuais foram observadas em todas as doses masculinizantes. </w:t>
      </w:r>
      <w:r w:rsidR="00902376">
        <w:rPr>
          <w:szCs w:val="24"/>
        </w:rPr>
        <w:t>Os resultados mostraram</w:t>
      </w:r>
      <w:r w:rsidR="0096366E">
        <w:rPr>
          <w:szCs w:val="24"/>
        </w:rPr>
        <w:t xml:space="preserve"> que a</w:t>
      </w:r>
      <w:r w:rsidRPr="00927978">
        <w:rPr>
          <w:szCs w:val="24"/>
        </w:rPr>
        <w:t xml:space="preserve"> administração oral de MT foi eficaz para masculinizar fêmeas de </w:t>
      </w:r>
      <w:r w:rsidRPr="00927978">
        <w:rPr>
          <w:i/>
          <w:szCs w:val="24"/>
        </w:rPr>
        <w:t xml:space="preserve">R. </w:t>
      </w:r>
      <w:proofErr w:type="spellStart"/>
      <w:r w:rsidRPr="00927978">
        <w:rPr>
          <w:i/>
          <w:szCs w:val="24"/>
        </w:rPr>
        <w:t>quelen</w:t>
      </w:r>
      <w:proofErr w:type="spellEnd"/>
      <w:r w:rsidRPr="00927978">
        <w:rPr>
          <w:szCs w:val="24"/>
        </w:rPr>
        <w:t xml:space="preserve">, sendo indicada a menor dose testada </w:t>
      </w:r>
      <w:r w:rsidR="00902376">
        <w:rPr>
          <w:szCs w:val="24"/>
        </w:rPr>
        <w:t>por não haver</w:t>
      </w:r>
      <w:r w:rsidR="0069210E">
        <w:rPr>
          <w:szCs w:val="24"/>
        </w:rPr>
        <w:t xml:space="preserve"> dife</w:t>
      </w:r>
      <w:r w:rsidR="00084E69">
        <w:rPr>
          <w:szCs w:val="24"/>
        </w:rPr>
        <w:t>rença entre as doses testadas</w:t>
      </w:r>
      <w:r w:rsidRPr="00927978">
        <w:rPr>
          <w:szCs w:val="24"/>
        </w:rPr>
        <w:t>.</w:t>
      </w:r>
    </w:p>
    <w:p w:rsidR="00706E0D" w:rsidRDefault="00706E0D" w:rsidP="00706E0D">
      <w:pPr>
        <w:spacing w:after="0" w:line="240" w:lineRule="auto"/>
        <w:rPr>
          <w:rFonts w:eastAsia="Times New Roman"/>
          <w:b/>
          <w:bCs/>
          <w:szCs w:val="24"/>
          <w:lang w:eastAsia="pt-BR"/>
        </w:rPr>
      </w:pPr>
    </w:p>
    <w:p w:rsidR="00880ABD" w:rsidRPr="00706E0D" w:rsidRDefault="00880ABD" w:rsidP="00706E0D">
      <w:pPr>
        <w:spacing w:after="0" w:line="240" w:lineRule="auto"/>
        <w:rPr>
          <w:rFonts w:eastAsia="Times New Roman"/>
          <w:szCs w:val="24"/>
          <w:lang w:eastAsia="pt-BR"/>
        </w:rPr>
      </w:pPr>
      <w:r w:rsidRPr="000C28D0">
        <w:rPr>
          <w:rFonts w:eastAsia="Times New Roman"/>
          <w:b/>
          <w:bCs/>
          <w:szCs w:val="24"/>
          <w:lang w:eastAsia="pt-BR"/>
        </w:rPr>
        <w:t xml:space="preserve">Palavras-chave: </w:t>
      </w:r>
      <w:proofErr w:type="spellStart"/>
      <w:r w:rsidR="00A34330" w:rsidRPr="00927978">
        <w:rPr>
          <w:szCs w:val="24"/>
        </w:rPr>
        <w:t>monosexo</w:t>
      </w:r>
      <w:proofErr w:type="spellEnd"/>
      <w:r w:rsidR="00A34330" w:rsidRPr="00927978">
        <w:rPr>
          <w:szCs w:val="24"/>
        </w:rPr>
        <w:t xml:space="preserve">, histologia, </w:t>
      </w:r>
      <w:r w:rsidR="000D51AC">
        <w:rPr>
          <w:szCs w:val="24"/>
        </w:rPr>
        <w:t>jundiá</w:t>
      </w:r>
      <w:r w:rsidR="00A34330">
        <w:rPr>
          <w:szCs w:val="24"/>
        </w:rPr>
        <w:t>,</w:t>
      </w:r>
      <w:r w:rsidR="00A34330" w:rsidRPr="00927978">
        <w:rPr>
          <w:szCs w:val="24"/>
        </w:rPr>
        <w:t xml:space="preserve"> </w:t>
      </w:r>
      <w:proofErr w:type="spellStart"/>
      <w:r w:rsidR="00A34330" w:rsidRPr="00927978">
        <w:rPr>
          <w:szCs w:val="24"/>
        </w:rPr>
        <w:t>neomacho</w:t>
      </w:r>
      <w:proofErr w:type="spellEnd"/>
      <w:r w:rsidR="00A34330" w:rsidRPr="00927978">
        <w:rPr>
          <w:szCs w:val="24"/>
        </w:rPr>
        <w:t>.</w:t>
      </w:r>
    </w:p>
    <w:p w:rsidR="00376441" w:rsidRDefault="00376441" w:rsidP="00D73C82">
      <w:pPr>
        <w:spacing w:after="0" w:line="240" w:lineRule="auto"/>
        <w:jc w:val="both"/>
        <w:rPr>
          <w:rFonts w:eastAsia="Times New Roman"/>
          <w:b/>
          <w:bCs/>
          <w:szCs w:val="24"/>
          <w:lang w:eastAsia="pt-BR"/>
        </w:rPr>
      </w:pPr>
    </w:p>
    <w:p w:rsidR="006D7C8B" w:rsidRDefault="006D7C8B" w:rsidP="006D7C8B">
      <w:pPr>
        <w:autoSpaceDE w:val="0"/>
        <w:autoSpaceDN w:val="0"/>
        <w:adjustRightInd w:val="0"/>
        <w:spacing w:after="0" w:line="240" w:lineRule="auto"/>
        <w:jc w:val="both"/>
        <w:rPr>
          <w:b/>
          <w:szCs w:val="24"/>
          <w:lang w:eastAsia="pt-BR"/>
        </w:rPr>
      </w:pPr>
      <w:r>
        <w:rPr>
          <w:b/>
          <w:szCs w:val="24"/>
          <w:lang w:eastAsia="pt-BR"/>
        </w:rPr>
        <w:t>ABSTRAT</w:t>
      </w:r>
    </w:p>
    <w:p w:rsidR="006D7C8B" w:rsidRDefault="006D7C8B" w:rsidP="006D7C8B">
      <w:pPr>
        <w:autoSpaceDE w:val="0"/>
        <w:autoSpaceDN w:val="0"/>
        <w:adjustRightInd w:val="0"/>
        <w:spacing w:after="0" w:line="240" w:lineRule="auto"/>
        <w:jc w:val="both"/>
        <w:rPr>
          <w:b/>
          <w:szCs w:val="24"/>
          <w:lang w:eastAsia="pt-BR"/>
        </w:rPr>
      </w:pPr>
    </w:p>
    <w:p w:rsidR="006D7C8B" w:rsidRPr="00F0669A" w:rsidRDefault="00F0669A" w:rsidP="006D7C8B">
      <w:pPr>
        <w:tabs>
          <w:tab w:val="left" w:pos="4140"/>
        </w:tabs>
        <w:spacing w:after="0" w:line="240" w:lineRule="auto"/>
        <w:jc w:val="both"/>
        <w:rPr>
          <w:color w:val="000000"/>
          <w:lang w:val="en-US"/>
        </w:rPr>
      </w:pPr>
      <w:r w:rsidRPr="00927978">
        <w:rPr>
          <w:szCs w:val="24"/>
          <w:lang w:val="en-US"/>
        </w:rPr>
        <w:t xml:space="preserve">The female </w:t>
      </w:r>
      <w:proofErr w:type="spellStart"/>
      <w:r w:rsidRPr="00927978">
        <w:rPr>
          <w:szCs w:val="24"/>
          <w:lang w:val="en-US"/>
        </w:rPr>
        <w:t>monosex</w:t>
      </w:r>
      <w:proofErr w:type="spellEnd"/>
      <w:r w:rsidRPr="00927978">
        <w:rPr>
          <w:szCs w:val="24"/>
          <w:lang w:val="en-US"/>
        </w:rPr>
        <w:t xml:space="preserve"> fish culture </w:t>
      </w:r>
      <w:r w:rsidR="00B819F5">
        <w:rPr>
          <w:szCs w:val="24"/>
          <w:lang w:val="en-US"/>
        </w:rPr>
        <w:t>is indicate</w:t>
      </w:r>
      <w:r w:rsidRPr="00927978">
        <w:rPr>
          <w:szCs w:val="24"/>
          <w:lang w:val="en-US"/>
        </w:rPr>
        <w:t xml:space="preserve"> for </w:t>
      </w:r>
      <w:proofErr w:type="spellStart"/>
      <w:r w:rsidRPr="00927978">
        <w:rPr>
          <w:i/>
          <w:szCs w:val="24"/>
          <w:lang w:val="en-US"/>
        </w:rPr>
        <w:t>Rhamdia</w:t>
      </w:r>
      <w:proofErr w:type="spellEnd"/>
      <w:r w:rsidRPr="00927978">
        <w:rPr>
          <w:i/>
          <w:szCs w:val="24"/>
          <w:lang w:val="en-US"/>
        </w:rPr>
        <w:t xml:space="preserve"> </w:t>
      </w:r>
      <w:proofErr w:type="spellStart"/>
      <w:r w:rsidRPr="00927978">
        <w:rPr>
          <w:i/>
          <w:szCs w:val="24"/>
          <w:lang w:val="en-US"/>
        </w:rPr>
        <w:t>quelen</w:t>
      </w:r>
      <w:proofErr w:type="spellEnd"/>
      <w:r w:rsidRPr="00927978">
        <w:rPr>
          <w:szCs w:val="24"/>
          <w:lang w:val="en-US"/>
        </w:rPr>
        <w:t xml:space="preserve"> due to their higher growth</w:t>
      </w:r>
      <w:r>
        <w:rPr>
          <w:szCs w:val="24"/>
          <w:lang w:val="en-US"/>
        </w:rPr>
        <w:t xml:space="preserve"> </w:t>
      </w:r>
      <w:r>
        <w:rPr>
          <w:lang w:val="en"/>
        </w:rPr>
        <w:t>and early sexual maturation of males during the production cycle</w:t>
      </w:r>
      <w:r w:rsidRPr="00927978">
        <w:rPr>
          <w:szCs w:val="24"/>
          <w:lang w:val="en-US"/>
        </w:rPr>
        <w:t>. Hormone</w:t>
      </w:r>
      <w:r w:rsidR="00B819F5">
        <w:rPr>
          <w:szCs w:val="24"/>
          <w:lang w:val="en-US"/>
        </w:rPr>
        <w:t>-free offspring can be generate</w:t>
      </w:r>
      <w:r w:rsidRPr="00927978">
        <w:rPr>
          <w:szCs w:val="24"/>
          <w:lang w:val="en-US"/>
        </w:rPr>
        <w:t xml:space="preserve"> by indirect sex reversal, which initially involves the masculinization of </w:t>
      </w:r>
      <w:r>
        <w:rPr>
          <w:rStyle w:val="shorttext"/>
          <w:lang w:val="en"/>
        </w:rPr>
        <w:t>normal females (genotypic and phenotypic females)</w:t>
      </w:r>
      <w:r w:rsidRPr="00927978">
        <w:rPr>
          <w:szCs w:val="24"/>
          <w:lang w:val="en-US"/>
        </w:rPr>
        <w:t xml:space="preserve"> to yield </w:t>
      </w:r>
      <w:proofErr w:type="spellStart"/>
      <w:r w:rsidRPr="00927978">
        <w:rPr>
          <w:szCs w:val="24"/>
          <w:lang w:val="en-US"/>
        </w:rPr>
        <w:t>neomales</w:t>
      </w:r>
      <w:proofErr w:type="spellEnd"/>
      <w:r w:rsidRPr="00927978">
        <w:rPr>
          <w:szCs w:val="24"/>
          <w:lang w:val="en-US"/>
        </w:rPr>
        <w:t xml:space="preserve"> breeders that are </w:t>
      </w:r>
      <w:r w:rsidR="00DD4F57">
        <w:rPr>
          <w:szCs w:val="24"/>
          <w:lang w:val="en-US"/>
        </w:rPr>
        <w:t xml:space="preserve">can be </w:t>
      </w:r>
      <w:r w:rsidRPr="00927978">
        <w:rPr>
          <w:szCs w:val="24"/>
          <w:lang w:val="en-US"/>
        </w:rPr>
        <w:t xml:space="preserve">able to produce all-female offspring when crossed with </w:t>
      </w:r>
      <w:r>
        <w:rPr>
          <w:szCs w:val="24"/>
          <w:lang w:val="en-US"/>
        </w:rPr>
        <w:t xml:space="preserve">normal females. </w:t>
      </w:r>
      <w:r>
        <w:rPr>
          <w:rStyle w:val="alt-edited"/>
          <w:lang w:val="en"/>
        </w:rPr>
        <w:t>Thus, the objective of the study was</w:t>
      </w:r>
      <w:r w:rsidRPr="00927978">
        <w:rPr>
          <w:szCs w:val="24"/>
          <w:lang w:val="en-US"/>
        </w:rPr>
        <w:t xml:space="preserve"> </w:t>
      </w:r>
      <w:r w:rsidR="00945875">
        <w:rPr>
          <w:szCs w:val="24"/>
          <w:lang w:val="en-US"/>
        </w:rPr>
        <w:t xml:space="preserve">to </w:t>
      </w:r>
      <w:r>
        <w:rPr>
          <w:szCs w:val="24"/>
          <w:lang w:val="en-US"/>
        </w:rPr>
        <w:t>m</w:t>
      </w:r>
      <w:r w:rsidRPr="00927978">
        <w:rPr>
          <w:szCs w:val="24"/>
          <w:lang w:val="en-US"/>
        </w:rPr>
        <w:t xml:space="preserve">asculinize </w:t>
      </w:r>
      <w:r w:rsidRPr="00F0669A">
        <w:rPr>
          <w:i/>
          <w:szCs w:val="24"/>
          <w:lang w:val="en-US"/>
        </w:rPr>
        <w:t xml:space="preserve">R. </w:t>
      </w:r>
      <w:proofErr w:type="spellStart"/>
      <w:r w:rsidRPr="00F0669A">
        <w:rPr>
          <w:i/>
          <w:szCs w:val="24"/>
          <w:lang w:val="en-US"/>
        </w:rPr>
        <w:t>quelen</w:t>
      </w:r>
      <w:proofErr w:type="spellEnd"/>
      <w:r w:rsidRPr="00927978">
        <w:rPr>
          <w:szCs w:val="24"/>
          <w:lang w:val="en-US"/>
        </w:rPr>
        <w:t xml:space="preserve"> female by oral administration using 17α-</w:t>
      </w:r>
      <w:proofErr w:type="spellStart"/>
      <w:r w:rsidRPr="00927978">
        <w:rPr>
          <w:szCs w:val="24"/>
          <w:lang w:val="en-US"/>
        </w:rPr>
        <w:t>methyltestosterone</w:t>
      </w:r>
      <w:proofErr w:type="spellEnd"/>
      <w:r w:rsidRPr="00927978">
        <w:rPr>
          <w:szCs w:val="24"/>
          <w:lang w:val="en-US"/>
        </w:rPr>
        <w:t xml:space="preserve"> (MT) incorporated into </w:t>
      </w:r>
      <w:r w:rsidR="00945875">
        <w:rPr>
          <w:szCs w:val="24"/>
          <w:lang w:val="en-US"/>
        </w:rPr>
        <w:t xml:space="preserve">the </w:t>
      </w:r>
      <w:r w:rsidRPr="00927978">
        <w:rPr>
          <w:szCs w:val="24"/>
          <w:lang w:val="en-US"/>
        </w:rPr>
        <w:t xml:space="preserve">feed. </w:t>
      </w:r>
      <w:r w:rsidR="00BA5317">
        <w:rPr>
          <w:szCs w:val="24"/>
          <w:lang w:val="en-US"/>
        </w:rPr>
        <w:t>Groups of larvae</w:t>
      </w:r>
      <w:r w:rsidR="00B819F5">
        <w:rPr>
          <w:szCs w:val="24"/>
          <w:lang w:val="en-US"/>
        </w:rPr>
        <w:t xml:space="preserve"> </w:t>
      </w:r>
      <w:r w:rsidR="00BA5317">
        <w:rPr>
          <w:szCs w:val="24"/>
          <w:lang w:val="en-US"/>
        </w:rPr>
        <w:t>fe</w:t>
      </w:r>
      <w:r w:rsidRPr="00927978">
        <w:rPr>
          <w:szCs w:val="24"/>
          <w:lang w:val="en-US"/>
        </w:rPr>
        <w:t xml:space="preserve">d </w:t>
      </w:r>
      <w:r w:rsidR="00BA5317">
        <w:rPr>
          <w:szCs w:val="24"/>
          <w:lang w:val="en-US"/>
        </w:rPr>
        <w:t xml:space="preserve">with </w:t>
      </w:r>
      <w:r w:rsidRPr="00927978">
        <w:rPr>
          <w:szCs w:val="24"/>
          <w:lang w:val="en-US"/>
        </w:rPr>
        <w:t xml:space="preserve">diets supplemented with MT at doses of </w:t>
      </w:r>
      <w:r>
        <w:rPr>
          <w:szCs w:val="24"/>
          <w:lang w:val="en-US"/>
        </w:rPr>
        <w:t xml:space="preserve">60, 80 or </w:t>
      </w:r>
      <w:r w:rsidR="00945875">
        <w:rPr>
          <w:szCs w:val="24"/>
          <w:lang w:val="en-US"/>
        </w:rPr>
        <w:t>100 mg.</w:t>
      </w:r>
      <w:r w:rsidRPr="00927978">
        <w:rPr>
          <w:szCs w:val="24"/>
          <w:lang w:val="en-US"/>
        </w:rPr>
        <w:t>kg</w:t>
      </w:r>
      <w:r w:rsidR="00945875">
        <w:rPr>
          <w:szCs w:val="24"/>
          <w:vertAlign w:val="superscript"/>
          <w:lang w:val="en-US"/>
        </w:rPr>
        <w:t>-1</w:t>
      </w:r>
      <w:r w:rsidRPr="00927978">
        <w:rPr>
          <w:szCs w:val="24"/>
          <w:lang w:val="en-US"/>
        </w:rPr>
        <w:t xml:space="preserve"> diet for 21 days. A control group fed a similar hormone-free diet. At 150 days post-hatching (DPH) 30 fish from each dose were euthanized to gonadal evaluation through histological techniques. </w:t>
      </w:r>
      <w:r w:rsidR="00BA5317">
        <w:rPr>
          <w:szCs w:val="24"/>
          <w:lang w:val="en-US"/>
        </w:rPr>
        <w:t>Sex reversal was observe</w:t>
      </w:r>
      <w:r w:rsidRPr="00927978">
        <w:rPr>
          <w:szCs w:val="24"/>
          <w:lang w:val="en-US"/>
        </w:rPr>
        <w:t xml:space="preserve"> at all MT doses that produced 50, 40 and 20</w:t>
      </w:r>
      <w:r w:rsidR="00945875">
        <w:rPr>
          <w:szCs w:val="24"/>
          <w:lang w:val="en-US"/>
        </w:rPr>
        <w:t xml:space="preserve">% </w:t>
      </w:r>
      <w:proofErr w:type="spellStart"/>
      <w:r w:rsidR="00945875">
        <w:rPr>
          <w:szCs w:val="24"/>
          <w:lang w:val="en-US"/>
        </w:rPr>
        <w:t>neomales</w:t>
      </w:r>
      <w:proofErr w:type="spellEnd"/>
      <w:r w:rsidR="00945875">
        <w:rPr>
          <w:szCs w:val="24"/>
          <w:lang w:val="en-US"/>
        </w:rPr>
        <w:t xml:space="preserve"> at 60, 80 and 100 mg.</w:t>
      </w:r>
      <w:r w:rsidRPr="00927978">
        <w:rPr>
          <w:szCs w:val="24"/>
          <w:lang w:val="en-US"/>
        </w:rPr>
        <w:t>kg</w:t>
      </w:r>
      <w:r w:rsidR="00945875">
        <w:rPr>
          <w:szCs w:val="24"/>
          <w:vertAlign w:val="superscript"/>
          <w:lang w:val="en-US"/>
        </w:rPr>
        <w:t>-1</w:t>
      </w:r>
      <w:r w:rsidRPr="00927978">
        <w:rPr>
          <w:szCs w:val="24"/>
          <w:lang w:val="en-US"/>
        </w:rPr>
        <w:t>, respectiv</w:t>
      </w:r>
      <w:r w:rsidR="00BA5317">
        <w:rPr>
          <w:szCs w:val="24"/>
          <w:lang w:val="en-US"/>
        </w:rPr>
        <w:t>ely. Intersex fish were observe</w:t>
      </w:r>
      <w:r w:rsidRPr="00927978">
        <w:rPr>
          <w:szCs w:val="24"/>
          <w:lang w:val="en-US"/>
        </w:rPr>
        <w:t xml:space="preserve"> at all masculinizing doses. </w:t>
      </w:r>
      <w:r w:rsidR="00B819F5">
        <w:rPr>
          <w:rStyle w:val="shorttext"/>
          <w:lang w:val="en"/>
        </w:rPr>
        <w:t>Besides that,</w:t>
      </w:r>
      <w:r w:rsidR="00B819F5" w:rsidRPr="00927978">
        <w:rPr>
          <w:szCs w:val="24"/>
          <w:lang w:val="en-US"/>
        </w:rPr>
        <w:t xml:space="preserve"> </w:t>
      </w:r>
      <w:r w:rsidR="00B819F5">
        <w:rPr>
          <w:szCs w:val="24"/>
          <w:lang w:val="en-US"/>
        </w:rPr>
        <w:t>h</w:t>
      </w:r>
      <w:r w:rsidRPr="00927978">
        <w:rPr>
          <w:szCs w:val="24"/>
          <w:lang w:val="en-US"/>
        </w:rPr>
        <w:t xml:space="preserve">igher MT doses caused inhibitory effects of development </w:t>
      </w:r>
      <w:r w:rsidR="00B819F5">
        <w:rPr>
          <w:szCs w:val="24"/>
          <w:lang w:val="en-US"/>
        </w:rPr>
        <w:t xml:space="preserve">in the female and male gonads. </w:t>
      </w:r>
      <w:r w:rsidR="00902376" w:rsidRPr="00902376">
        <w:rPr>
          <w:rStyle w:val="shorttext"/>
          <w:lang w:val="en"/>
        </w:rPr>
        <w:t>The results showed</w:t>
      </w:r>
      <w:r w:rsidR="00B819F5">
        <w:rPr>
          <w:rStyle w:val="shorttext"/>
          <w:lang w:val="en"/>
        </w:rPr>
        <w:t xml:space="preserve"> that</w:t>
      </w:r>
      <w:r w:rsidR="00B819F5" w:rsidRPr="00927978">
        <w:rPr>
          <w:szCs w:val="24"/>
          <w:lang w:val="en-US"/>
        </w:rPr>
        <w:t xml:space="preserve"> </w:t>
      </w:r>
      <w:r w:rsidR="00B819F5">
        <w:rPr>
          <w:szCs w:val="24"/>
          <w:lang w:val="en-US"/>
        </w:rPr>
        <w:t>o</w:t>
      </w:r>
      <w:r w:rsidRPr="00927978">
        <w:rPr>
          <w:szCs w:val="24"/>
          <w:lang w:val="en-US"/>
        </w:rPr>
        <w:t xml:space="preserve">ral administration of MT was effective to induce </w:t>
      </w:r>
      <w:r w:rsidRPr="00927978">
        <w:rPr>
          <w:i/>
          <w:szCs w:val="24"/>
          <w:lang w:val="en-US"/>
        </w:rPr>
        <w:t xml:space="preserve">R. </w:t>
      </w:r>
      <w:proofErr w:type="spellStart"/>
      <w:r w:rsidRPr="00927978">
        <w:rPr>
          <w:i/>
          <w:szCs w:val="24"/>
          <w:lang w:val="en-US"/>
        </w:rPr>
        <w:t>quelen</w:t>
      </w:r>
      <w:proofErr w:type="spellEnd"/>
      <w:r w:rsidRPr="00927978">
        <w:rPr>
          <w:szCs w:val="24"/>
          <w:lang w:val="en-US"/>
        </w:rPr>
        <w:t xml:space="preserve"> </w:t>
      </w:r>
      <w:r w:rsidR="00870B75">
        <w:rPr>
          <w:szCs w:val="24"/>
          <w:lang w:val="en-US"/>
        </w:rPr>
        <w:t xml:space="preserve">female </w:t>
      </w:r>
      <w:r w:rsidRPr="00927978">
        <w:rPr>
          <w:szCs w:val="24"/>
          <w:lang w:val="en-US"/>
        </w:rPr>
        <w:t xml:space="preserve">masculinization; being indicated the lowest dose tested </w:t>
      </w:r>
      <w:r w:rsidR="00084E69">
        <w:rPr>
          <w:szCs w:val="24"/>
          <w:lang w:val="en-US"/>
        </w:rPr>
        <w:t>d</w:t>
      </w:r>
      <w:r w:rsidR="00084E69" w:rsidRPr="00084E69">
        <w:rPr>
          <w:szCs w:val="24"/>
          <w:lang w:val="en-US"/>
        </w:rPr>
        <w:t>ue to no diff</w:t>
      </w:r>
      <w:r w:rsidR="00084E69">
        <w:rPr>
          <w:szCs w:val="24"/>
          <w:lang w:val="en-US"/>
        </w:rPr>
        <w:t>erence between the doses tested</w:t>
      </w:r>
      <w:r w:rsidRPr="00927978">
        <w:rPr>
          <w:szCs w:val="24"/>
          <w:lang w:val="en-US"/>
        </w:rPr>
        <w:t xml:space="preserve">. </w:t>
      </w:r>
    </w:p>
    <w:p w:rsidR="006D7C8B" w:rsidRPr="00F0669A" w:rsidRDefault="006D7C8B" w:rsidP="006D7C8B">
      <w:pPr>
        <w:spacing w:after="0" w:line="240" w:lineRule="auto"/>
        <w:rPr>
          <w:rFonts w:eastAsia="Times New Roman"/>
          <w:b/>
          <w:bCs/>
          <w:szCs w:val="24"/>
          <w:lang w:val="en-US" w:eastAsia="pt-BR"/>
        </w:rPr>
      </w:pPr>
    </w:p>
    <w:p w:rsidR="00C86FAA" w:rsidRDefault="006D7C8B" w:rsidP="00B819F5">
      <w:pPr>
        <w:spacing w:after="0" w:line="240" w:lineRule="auto"/>
        <w:rPr>
          <w:sz w:val="28"/>
          <w:szCs w:val="28"/>
        </w:rPr>
      </w:pPr>
      <w:r>
        <w:rPr>
          <w:rFonts w:eastAsia="Times New Roman"/>
          <w:b/>
          <w:bCs/>
          <w:szCs w:val="24"/>
          <w:lang w:eastAsia="pt-BR"/>
        </w:rPr>
        <w:t>Key</w:t>
      </w:r>
      <w:r w:rsidR="00D73C82">
        <w:rPr>
          <w:rFonts w:eastAsia="Times New Roman"/>
          <w:b/>
          <w:bCs/>
          <w:szCs w:val="24"/>
          <w:lang w:eastAsia="pt-BR"/>
        </w:rPr>
        <w:t xml:space="preserve"> </w:t>
      </w:r>
      <w:proofErr w:type="spellStart"/>
      <w:r>
        <w:rPr>
          <w:rFonts w:eastAsia="Times New Roman"/>
          <w:b/>
          <w:bCs/>
          <w:szCs w:val="24"/>
          <w:lang w:eastAsia="pt-BR"/>
        </w:rPr>
        <w:t>word</w:t>
      </w:r>
      <w:r w:rsidR="00D73C82">
        <w:rPr>
          <w:rFonts w:eastAsia="Times New Roman"/>
          <w:b/>
          <w:bCs/>
          <w:szCs w:val="24"/>
          <w:lang w:eastAsia="pt-BR"/>
        </w:rPr>
        <w:t>s</w:t>
      </w:r>
      <w:proofErr w:type="spellEnd"/>
      <w:r w:rsidRPr="000C28D0">
        <w:rPr>
          <w:rFonts w:eastAsia="Times New Roman"/>
          <w:b/>
          <w:bCs/>
          <w:szCs w:val="24"/>
          <w:lang w:eastAsia="pt-BR"/>
        </w:rPr>
        <w:t xml:space="preserve">: </w:t>
      </w:r>
      <w:proofErr w:type="spellStart"/>
      <w:r w:rsidR="00F90857">
        <w:rPr>
          <w:rFonts w:eastAsia="Times New Roman"/>
          <w:bCs/>
          <w:szCs w:val="24"/>
          <w:lang w:eastAsia="pt-BR"/>
        </w:rPr>
        <w:t>m</w:t>
      </w:r>
      <w:r w:rsidR="00870B75">
        <w:rPr>
          <w:rFonts w:eastAsia="Times New Roman"/>
          <w:bCs/>
          <w:szCs w:val="24"/>
          <w:lang w:eastAsia="pt-BR"/>
        </w:rPr>
        <w:t>onosex</w:t>
      </w:r>
      <w:proofErr w:type="spellEnd"/>
      <w:r w:rsidR="00870B75">
        <w:rPr>
          <w:rFonts w:eastAsia="Times New Roman"/>
          <w:bCs/>
          <w:szCs w:val="24"/>
          <w:lang w:eastAsia="pt-BR"/>
        </w:rPr>
        <w:t xml:space="preserve">, </w:t>
      </w:r>
      <w:proofErr w:type="spellStart"/>
      <w:r w:rsidR="00870B75">
        <w:rPr>
          <w:rFonts w:eastAsia="Times New Roman"/>
          <w:bCs/>
          <w:szCs w:val="24"/>
          <w:lang w:eastAsia="pt-BR"/>
        </w:rPr>
        <w:t>histology</w:t>
      </w:r>
      <w:proofErr w:type="spellEnd"/>
      <w:r w:rsidR="00870B75">
        <w:rPr>
          <w:rFonts w:eastAsia="Times New Roman"/>
          <w:bCs/>
          <w:szCs w:val="24"/>
          <w:lang w:eastAsia="pt-BR"/>
        </w:rPr>
        <w:t xml:space="preserve">, jundiá, </w:t>
      </w:r>
      <w:proofErr w:type="spellStart"/>
      <w:r w:rsidR="00870B75">
        <w:rPr>
          <w:rFonts w:eastAsia="Times New Roman"/>
          <w:bCs/>
          <w:szCs w:val="24"/>
          <w:lang w:eastAsia="pt-BR"/>
        </w:rPr>
        <w:t>neo</w:t>
      </w:r>
      <w:r w:rsidR="00870B75" w:rsidRPr="00870B75">
        <w:rPr>
          <w:rFonts w:eastAsia="Times New Roman"/>
          <w:bCs/>
          <w:szCs w:val="24"/>
          <w:lang w:eastAsia="pt-BR"/>
        </w:rPr>
        <w:t>male</w:t>
      </w:r>
      <w:proofErr w:type="spellEnd"/>
      <w:r w:rsidRPr="00706E0D">
        <w:rPr>
          <w:rFonts w:eastAsia="Times New Roman"/>
          <w:szCs w:val="24"/>
          <w:lang w:eastAsia="pt-BR"/>
        </w:rPr>
        <w:t>.</w:t>
      </w:r>
    </w:p>
    <w:p w:rsidR="00376441" w:rsidRPr="00D66241" w:rsidRDefault="00D73C82" w:rsidP="00353954">
      <w:pPr>
        <w:numPr>
          <w:ilvl w:val="0"/>
          <w:numId w:val="5"/>
        </w:numPr>
        <w:spacing w:after="0" w:line="240" w:lineRule="auto"/>
        <w:ind w:left="426" w:hanging="426"/>
        <w:rPr>
          <w:b/>
          <w:szCs w:val="24"/>
        </w:rPr>
      </w:pPr>
      <w:r>
        <w:rPr>
          <w:b/>
          <w:szCs w:val="24"/>
        </w:rPr>
        <w:br w:type="page"/>
      </w:r>
      <w:r w:rsidR="0084602C" w:rsidRPr="00D66241">
        <w:rPr>
          <w:b/>
          <w:szCs w:val="24"/>
        </w:rPr>
        <w:lastRenderedPageBreak/>
        <w:t>INTRODUÇÃO</w:t>
      </w:r>
    </w:p>
    <w:p w:rsidR="00C86FAA" w:rsidRDefault="00C86FAA" w:rsidP="00D66241">
      <w:pPr>
        <w:tabs>
          <w:tab w:val="left" w:pos="4140"/>
        </w:tabs>
        <w:spacing w:after="0" w:line="240" w:lineRule="auto"/>
        <w:ind w:firstLine="539"/>
        <w:jc w:val="both"/>
        <w:rPr>
          <w:color w:val="000000"/>
          <w:szCs w:val="24"/>
        </w:rPr>
      </w:pPr>
    </w:p>
    <w:p w:rsidR="00FD0614" w:rsidRPr="0049270C" w:rsidRDefault="00FD0614" w:rsidP="00124D6E">
      <w:pPr>
        <w:tabs>
          <w:tab w:val="left" w:pos="4140"/>
        </w:tabs>
        <w:spacing w:after="0" w:line="240" w:lineRule="auto"/>
        <w:ind w:firstLine="539"/>
        <w:jc w:val="both"/>
        <w:rPr>
          <w:color w:val="000000"/>
          <w:szCs w:val="24"/>
        </w:rPr>
      </w:pPr>
      <w:r w:rsidRPr="00FD0614">
        <w:rPr>
          <w:color w:val="000000"/>
          <w:szCs w:val="24"/>
        </w:rPr>
        <w:t xml:space="preserve">O cultivo de </w:t>
      </w:r>
      <w:proofErr w:type="spellStart"/>
      <w:r w:rsidRPr="00FD0614">
        <w:rPr>
          <w:i/>
          <w:color w:val="000000"/>
          <w:szCs w:val="24"/>
        </w:rPr>
        <w:t>Rhamdia</w:t>
      </w:r>
      <w:proofErr w:type="spellEnd"/>
      <w:r w:rsidRPr="00FD0614">
        <w:rPr>
          <w:i/>
          <w:color w:val="000000"/>
          <w:szCs w:val="24"/>
        </w:rPr>
        <w:t xml:space="preserve"> </w:t>
      </w:r>
      <w:proofErr w:type="spellStart"/>
      <w:r w:rsidRPr="00FD0614">
        <w:rPr>
          <w:i/>
          <w:color w:val="000000"/>
          <w:szCs w:val="24"/>
        </w:rPr>
        <w:t>quelen</w:t>
      </w:r>
      <w:proofErr w:type="spellEnd"/>
      <w:r w:rsidRPr="00FD0614">
        <w:rPr>
          <w:color w:val="000000"/>
          <w:szCs w:val="24"/>
        </w:rPr>
        <w:t xml:space="preserve">, espécie </w:t>
      </w:r>
      <w:proofErr w:type="spellStart"/>
      <w:r w:rsidRPr="00FD0614">
        <w:rPr>
          <w:color w:val="000000"/>
          <w:szCs w:val="24"/>
        </w:rPr>
        <w:t>gonocorística</w:t>
      </w:r>
      <w:proofErr w:type="spellEnd"/>
      <w:r w:rsidRPr="00FD0614">
        <w:rPr>
          <w:color w:val="000000"/>
          <w:szCs w:val="24"/>
        </w:rPr>
        <w:t xml:space="preserve"> de peixe</w:t>
      </w:r>
      <w:r>
        <w:rPr>
          <w:color w:val="000000"/>
          <w:szCs w:val="24"/>
        </w:rPr>
        <w:t xml:space="preserve"> e popularmente conhecido como jundiá</w:t>
      </w:r>
      <w:r w:rsidRPr="00FD0614">
        <w:rPr>
          <w:color w:val="000000"/>
          <w:szCs w:val="24"/>
        </w:rPr>
        <w:t>, vem apresentando aumento constante na região sul do Brasil nos últimos anos (</w:t>
      </w:r>
      <w:r w:rsidRPr="0049270C">
        <w:rPr>
          <w:color w:val="000000"/>
          <w:szCs w:val="24"/>
        </w:rPr>
        <w:t xml:space="preserve">SILVEIRA et al., 2014). Para esta espécie, ambos os sexos apresentam taxas de crescimento similares no início do cultivo, no entanto as fêmeas alcançam maior tamanho no momento da despesca (GHIRALDELLI et al., 2007). Deste modo, a produção desta espécie poderia ser incrementada com o cultivo </w:t>
      </w:r>
      <w:proofErr w:type="spellStart"/>
      <w:r w:rsidRPr="0049270C">
        <w:rPr>
          <w:color w:val="000000"/>
          <w:szCs w:val="24"/>
        </w:rPr>
        <w:t>monosexo</w:t>
      </w:r>
      <w:proofErr w:type="spellEnd"/>
      <w:r w:rsidRPr="0049270C">
        <w:rPr>
          <w:color w:val="000000"/>
          <w:szCs w:val="24"/>
        </w:rPr>
        <w:t xml:space="preserve"> feminino.</w:t>
      </w:r>
    </w:p>
    <w:p w:rsidR="00FD0614" w:rsidRPr="0049270C" w:rsidRDefault="00FD0614" w:rsidP="00FD0614">
      <w:pPr>
        <w:tabs>
          <w:tab w:val="left" w:pos="4140"/>
        </w:tabs>
        <w:spacing w:after="0" w:line="240" w:lineRule="auto"/>
        <w:ind w:firstLine="539"/>
        <w:jc w:val="both"/>
        <w:rPr>
          <w:color w:val="000000"/>
          <w:szCs w:val="24"/>
        </w:rPr>
      </w:pPr>
      <w:r w:rsidRPr="0049270C">
        <w:rPr>
          <w:color w:val="000000"/>
          <w:szCs w:val="24"/>
        </w:rPr>
        <w:t xml:space="preserve">O cultivo </w:t>
      </w:r>
      <w:proofErr w:type="spellStart"/>
      <w:r w:rsidRPr="0049270C">
        <w:rPr>
          <w:color w:val="000000"/>
          <w:szCs w:val="24"/>
        </w:rPr>
        <w:t>monosexo</w:t>
      </w:r>
      <w:proofErr w:type="spellEnd"/>
      <w:r w:rsidRPr="0049270C">
        <w:rPr>
          <w:color w:val="000000"/>
          <w:szCs w:val="24"/>
        </w:rPr>
        <w:t xml:space="preserve"> é uma condição altamente desejada para muitas espécies de interesse comercial, como por exemplo, as do gênero </w:t>
      </w:r>
      <w:proofErr w:type="spellStart"/>
      <w:r w:rsidRPr="0049270C">
        <w:rPr>
          <w:i/>
          <w:color w:val="000000"/>
          <w:szCs w:val="24"/>
        </w:rPr>
        <w:t>Oreochromis</w:t>
      </w:r>
      <w:proofErr w:type="spellEnd"/>
      <w:r w:rsidRPr="0049270C">
        <w:rPr>
          <w:color w:val="000000"/>
          <w:szCs w:val="24"/>
        </w:rPr>
        <w:t xml:space="preserve"> e os salmonídeos e </w:t>
      </w:r>
      <w:proofErr w:type="spellStart"/>
      <w:r w:rsidRPr="0049270C">
        <w:rPr>
          <w:color w:val="000000"/>
          <w:szCs w:val="24"/>
        </w:rPr>
        <w:t>ciprinídeos</w:t>
      </w:r>
      <w:proofErr w:type="spellEnd"/>
      <w:r w:rsidRPr="0049270C">
        <w:rPr>
          <w:color w:val="000000"/>
          <w:szCs w:val="24"/>
        </w:rPr>
        <w:t xml:space="preserve">, principalmente devido às diferenças de crescimento entre os sexos, ou pela reprodução indesejada durante o ciclo de produção (DUNHAN, 2004). </w:t>
      </w:r>
    </w:p>
    <w:p w:rsidR="00FD0614" w:rsidRPr="0049270C" w:rsidRDefault="00FD0614" w:rsidP="00FD0614">
      <w:pPr>
        <w:tabs>
          <w:tab w:val="left" w:pos="4140"/>
        </w:tabs>
        <w:spacing w:after="0" w:line="240" w:lineRule="auto"/>
        <w:ind w:firstLine="539"/>
        <w:jc w:val="both"/>
        <w:rPr>
          <w:color w:val="000000"/>
          <w:szCs w:val="24"/>
        </w:rPr>
      </w:pPr>
      <w:r w:rsidRPr="0049270C">
        <w:rPr>
          <w:color w:val="000000"/>
          <w:szCs w:val="24"/>
        </w:rPr>
        <w:t xml:space="preserve">Normalmente lotes </w:t>
      </w:r>
      <w:proofErr w:type="spellStart"/>
      <w:r w:rsidRPr="0049270C">
        <w:rPr>
          <w:color w:val="000000"/>
          <w:szCs w:val="24"/>
        </w:rPr>
        <w:t>monosexo</w:t>
      </w:r>
      <w:proofErr w:type="spellEnd"/>
      <w:r w:rsidRPr="0049270C">
        <w:rPr>
          <w:color w:val="000000"/>
          <w:szCs w:val="24"/>
        </w:rPr>
        <w:t xml:space="preserve"> são obtidos através da aplicação de técnicas de inversão de sexo, que pode ser induzida pela temperatura (BAROILLER et al., 1999) ou pela administração de hormônios por via oral, por banho de imersão, por injeção ou implantes (PANDIAN, 2013). </w:t>
      </w:r>
    </w:p>
    <w:p w:rsidR="00FD0614" w:rsidRPr="0049270C" w:rsidRDefault="00FD0614" w:rsidP="00FD0614">
      <w:pPr>
        <w:tabs>
          <w:tab w:val="left" w:pos="4140"/>
        </w:tabs>
        <w:spacing w:after="0" w:line="240" w:lineRule="auto"/>
        <w:ind w:firstLine="539"/>
        <w:jc w:val="both"/>
        <w:rPr>
          <w:color w:val="000000"/>
          <w:szCs w:val="24"/>
        </w:rPr>
      </w:pPr>
      <w:r w:rsidRPr="0049270C">
        <w:rPr>
          <w:color w:val="000000"/>
          <w:szCs w:val="24"/>
        </w:rPr>
        <w:t xml:space="preserve">A administração de dieta suplementada com hormônio é um método de baixo custo para a inversão sexual, sendo amplamente utilizada em espécies cujo período lábil, ou seja, o período no qual as células são </w:t>
      </w:r>
      <w:proofErr w:type="spellStart"/>
      <w:r w:rsidRPr="0049270C">
        <w:rPr>
          <w:color w:val="000000"/>
          <w:szCs w:val="24"/>
        </w:rPr>
        <w:t>totipotentes</w:t>
      </w:r>
      <w:proofErr w:type="spellEnd"/>
      <w:r w:rsidRPr="0049270C">
        <w:rPr>
          <w:color w:val="000000"/>
          <w:szCs w:val="24"/>
        </w:rPr>
        <w:t xml:space="preserve"> em relação ao sexo, ocorre após o início da alimentação exógena (PANDIAN, 2013). Considerando-se que as larvas de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são capazes de digerir dietas artificiais antes mesmo de consumirem o vitelo (SILVEIRA et al., 2013), a inversão sexual por via oral apresenta-se como um método viável para inversão sexual.</w:t>
      </w:r>
    </w:p>
    <w:p w:rsidR="00FD0614" w:rsidRPr="0049270C" w:rsidRDefault="00FD0614" w:rsidP="00FD0614">
      <w:pPr>
        <w:tabs>
          <w:tab w:val="left" w:pos="4140"/>
        </w:tabs>
        <w:spacing w:after="0" w:line="240" w:lineRule="auto"/>
        <w:ind w:firstLine="539"/>
        <w:jc w:val="both"/>
        <w:rPr>
          <w:color w:val="000000"/>
          <w:szCs w:val="24"/>
        </w:rPr>
      </w:pPr>
      <w:r w:rsidRPr="0049270C">
        <w:rPr>
          <w:color w:val="000000"/>
          <w:szCs w:val="24"/>
        </w:rPr>
        <w:t xml:space="preserve">Populações </w:t>
      </w:r>
      <w:proofErr w:type="spellStart"/>
      <w:r w:rsidRPr="0049270C">
        <w:rPr>
          <w:color w:val="000000"/>
          <w:szCs w:val="24"/>
        </w:rPr>
        <w:t>monosexo</w:t>
      </w:r>
      <w:proofErr w:type="spellEnd"/>
      <w:r w:rsidRPr="0049270C">
        <w:rPr>
          <w:color w:val="000000"/>
          <w:szCs w:val="24"/>
        </w:rPr>
        <w:t xml:space="preserve"> também podem ser originadas combinando-se a utilização de esteroides com estratégias de acasalamento. Este método indireto de inversão sexual tem sido aplicado em cultivos comerciais, como os de salmonídeos (FEIST et al., 1995), evitando a aplicação de hormônios nos peixes destinados ao consumo. Como o uso de esteroides provoca controvérsias relacionadas à saúde humana e ao meio ambiente, muitos países europeus proibiram sua utilização em peixes cultivados (EL-SAYED, 2006).</w:t>
      </w:r>
    </w:p>
    <w:p w:rsidR="00FD0614" w:rsidRPr="0049270C" w:rsidRDefault="00FD0614" w:rsidP="00FD0614">
      <w:pPr>
        <w:tabs>
          <w:tab w:val="left" w:pos="4140"/>
        </w:tabs>
        <w:spacing w:after="0" w:line="240" w:lineRule="auto"/>
        <w:ind w:firstLine="539"/>
        <w:jc w:val="both"/>
        <w:rPr>
          <w:color w:val="000000"/>
          <w:szCs w:val="24"/>
        </w:rPr>
      </w:pPr>
      <w:r w:rsidRPr="0049270C">
        <w:rPr>
          <w:color w:val="000000"/>
          <w:szCs w:val="24"/>
        </w:rPr>
        <w:t xml:space="preserve">Em salmonídeos a obtenção de proles femininas livres de hormônio feminilizante envolve inicialmente a </w:t>
      </w:r>
      <w:proofErr w:type="spellStart"/>
      <w:r w:rsidRPr="0049270C">
        <w:rPr>
          <w:color w:val="000000"/>
          <w:szCs w:val="24"/>
        </w:rPr>
        <w:t>masculinização</w:t>
      </w:r>
      <w:proofErr w:type="spellEnd"/>
      <w:r w:rsidRPr="0049270C">
        <w:rPr>
          <w:color w:val="000000"/>
          <w:szCs w:val="24"/>
        </w:rPr>
        <w:t xml:space="preserve"> direta, seguida pela realização de testes de progênie para identificação das fêmeas masculinizadas, conhecidas como </w:t>
      </w:r>
      <w:proofErr w:type="spellStart"/>
      <w:r w:rsidRPr="0049270C">
        <w:rPr>
          <w:color w:val="000000"/>
          <w:szCs w:val="24"/>
        </w:rPr>
        <w:t>neomachos</w:t>
      </w:r>
      <w:proofErr w:type="spellEnd"/>
      <w:r w:rsidRPr="0049270C">
        <w:rPr>
          <w:color w:val="000000"/>
          <w:szCs w:val="24"/>
        </w:rPr>
        <w:t xml:space="preserve">, sendo que do cruzamento entre reprodutores </w:t>
      </w:r>
      <w:proofErr w:type="spellStart"/>
      <w:r w:rsidRPr="0049270C">
        <w:rPr>
          <w:color w:val="000000"/>
          <w:szCs w:val="24"/>
        </w:rPr>
        <w:t>neomachos</w:t>
      </w:r>
      <w:proofErr w:type="spellEnd"/>
      <w:r w:rsidRPr="0049270C">
        <w:rPr>
          <w:color w:val="000000"/>
          <w:szCs w:val="24"/>
        </w:rPr>
        <w:t xml:space="preserve"> e fêmeas normais obtém-se uma descendência feminina (DONALDSON e DEVLIN, 1996). </w:t>
      </w:r>
    </w:p>
    <w:p w:rsidR="00FD0614" w:rsidRPr="0049270C" w:rsidRDefault="00FD0614" w:rsidP="00FD0614">
      <w:pPr>
        <w:tabs>
          <w:tab w:val="left" w:pos="4140"/>
        </w:tabs>
        <w:spacing w:after="0" w:line="240" w:lineRule="auto"/>
        <w:ind w:firstLine="539"/>
        <w:jc w:val="both"/>
        <w:rPr>
          <w:color w:val="000000"/>
          <w:szCs w:val="24"/>
        </w:rPr>
      </w:pPr>
      <w:r w:rsidRPr="0049270C">
        <w:rPr>
          <w:color w:val="000000"/>
          <w:szCs w:val="24"/>
        </w:rPr>
        <w:t xml:space="preserve">Neste estudo relatamos a </w:t>
      </w:r>
      <w:proofErr w:type="spellStart"/>
      <w:r w:rsidRPr="0049270C">
        <w:rPr>
          <w:color w:val="000000"/>
          <w:szCs w:val="24"/>
        </w:rPr>
        <w:t>masculinização</w:t>
      </w:r>
      <w:proofErr w:type="spellEnd"/>
      <w:r w:rsidRPr="0049270C">
        <w:rPr>
          <w:color w:val="000000"/>
          <w:szCs w:val="24"/>
        </w:rPr>
        <w:t xml:space="preserve"> do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por via oral com 17</w:t>
      </w:r>
      <w:r w:rsidRPr="0049270C">
        <w:rPr>
          <w:color w:val="000000"/>
          <w:szCs w:val="24"/>
          <w:lang w:val="en-US"/>
        </w:rPr>
        <w:t>α</w:t>
      </w:r>
      <w:r w:rsidRPr="0049270C">
        <w:rPr>
          <w:color w:val="000000"/>
          <w:szCs w:val="24"/>
        </w:rPr>
        <w:t>-</w:t>
      </w:r>
      <w:proofErr w:type="spellStart"/>
      <w:r w:rsidRPr="0049270C">
        <w:rPr>
          <w:color w:val="000000"/>
          <w:szCs w:val="24"/>
        </w:rPr>
        <w:t>metiltestosterona</w:t>
      </w:r>
      <w:proofErr w:type="spellEnd"/>
      <w:r w:rsidRPr="0049270C">
        <w:rPr>
          <w:color w:val="000000"/>
          <w:szCs w:val="24"/>
        </w:rPr>
        <w:t xml:space="preserve">, como o passo inicial para a geração de descendência feminina livre da adição exógena de hormônio através de reprodutores </w:t>
      </w:r>
      <w:proofErr w:type="spellStart"/>
      <w:r w:rsidRPr="0049270C">
        <w:rPr>
          <w:color w:val="000000"/>
          <w:szCs w:val="24"/>
        </w:rPr>
        <w:t>neomachos</w:t>
      </w:r>
      <w:proofErr w:type="spellEnd"/>
      <w:r w:rsidRPr="0049270C">
        <w:rPr>
          <w:color w:val="000000"/>
          <w:szCs w:val="24"/>
        </w:rPr>
        <w:t>.</w:t>
      </w:r>
    </w:p>
    <w:p w:rsidR="00D66241" w:rsidRPr="0049270C" w:rsidRDefault="00D66241" w:rsidP="00D66241">
      <w:pPr>
        <w:rPr>
          <w:lang w:eastAsia="pt-BR"/>
        </w:rPr>
      </w:pPr>
    </w:p>
    <w:p w:rsidR="00376441" w:rsidRPr="0049270C" w:rsidRDefault="0084602C" w:rsidP="00D66241">
      <w:pPr>
        <w:pStyle w:val="Ttulo1"/>
        <w:spacing w:before="0" w:after="0"/>
        <w:jc w:val="both"/>
        <w:rPr>
          <w:rFonts w:ascii="Times New Roman" w:hAnsi="Times New Roman" w:cs="Times New Roman"/>
          <w:sz w:val="24"/>
          <w:szCs w:val="24"/>
        </w:rPr>
      </w:pPr>
      <w:r w:rsidRPr="0049270C">
        <w:rPr>
          <w:rFonts w:ascii="Times New Roman" w:hAnsi="Times New Roman" w:cs="Times New Roman"/>
          <w:sz w:val="24"/>
          <w:szCs w:val="24"/>
        </w:rPr>
        <w:t>2- MATERIAL E MÉTODOS</w:t>
      </w:r>
    </w:p>
    <w:p w:rsidR="00376441" w:rsidRPr="0049270C" w:rsidRDefault="00376441" w:rsidP="00D66241">
      <w:pPr>
        <w:pStyle w:val="Ttulo1"/>
        <w:spacing w:before="0" w:after="0"/>
        <w:jc w:val="both"/>
        <w:rPr>
          <w:rFonts w:ascii="Times New Roman" w:hAnsi="Times New Roman" w:cs="Times New Roman"/>
          <w:caps/>
          <w:sz w:val="24"/>
          <w:szCs w:val="24"/>
        </w:rPr>
      </w:pPr>
    </w:p>
    <w:p w:rsidR="00D93CE1" w:rsidRPr="0049270C" w:rsidRDefault="00D93CE1" w:rsidP="00D66241">
      <w:pPr>
        <w:spacing w:after="0" w:line="240" w:lineRule="auto"/>
        <w:ind w:firstLine="539"/>
        <w:jc w:val="both"/>
        <w:rPr>
          <w:color w:val="000000"/>
          <w:szCs w:val="24"/>
        </w:rPr>
      </w:pPr>
      <w:r w:rsidRPr="0049270C">
        <w:rPr>
          <w:color w:val="000000"/>
          <w:szCs w:val="24"/>
        </w:rPr>
        <w:t>O estudo foi conduzido no Laboratório de Biologia e Cultivo de Peixes de Água Doce (LAPAD) do Departamento de Aquicultura do Centro de Ciências Agrárias da Universidade Federal de Santa Catarina (UFSC), utilizando os procedimentos experimentais aprovado</w:t>
      </w:r>
      <w:r w:rsidR="001E254F" w:rsidRPr="0049270C">
        <w:rPr>
          <w:color w:val="000000"/>
          <w:szCs w:val="24"/>
        </w:rPr>
        <w:t>s</w:t>
      </w:r>
      <w:r w:rsidRPr="0049270C">
        <w:rPr>
          <w:color w:val="000000"/>
          <w:szCs w:val="24"/>
        </w:rPr>
        <w:t xml:space="preserve"> pela Comissão de Ética no Uso de Animais da UFSC.</w:t>
      </w:r>
    </w:p>
    <w:p w:rsidR="00142E9B" w:rsidRPr="0049270C" w:rsidRDefault="00142E9B" w:rsidP="00142E9B">
      <w:pPr>
        <w:spacing w:after="0" w:line="240" w:lineRule="auto"/>
        <w:ind w:firstLine="539"/>
        <w:jc w:val="both"/>
        <w:rPr>
          <w:color w:val="000000"/>
          <w:szCs w:val="24"/>
        </w:rPr>
      </w:pPr>
    </w:p>
    <w:p w:rsidR="00142E9B" w:rsidRPr="0049270C" w:rsidRDefault="00142E9B" w:rsidP="00142E9B">
      <w:pPr>
        <w:spacing w:after="0" w:line="240" w:lineRule="auto"/>
        <w:jc w:val="both"/>
        <w:rPr>
          <w:b/>
          <w:i/>
          <w:color w:val="000000"/>
          <w:szCs w:val="24"/>
        </w:rPr>
      </w:pPr>
      <w:r w:rsidRPr="0049270C">
        <w:rPr>
          <w:b/>
          <w:i/>
          <w:color w:val="000000"/>
          <w:szCs w:val="24"/>
        </w:rPr>
        <w:t xml:space="preserve">2.1– Peixes </w:t>
      </w:r>
    </w:p>
    <w:p w:rsidR="00142E9B" w:rsidRPr="0049270C" w:rsidRDefault="00142E9B" w:rsidP="00142E9B">
      <w:pPr>
        <w:spacing w:after="0" w:line="240" w:lineRule="auto"/>
        <w:ind w:firstLine="539"/>
        <w:jc w:val="both"/>
        <w:rPr>
          <w:color w:val="000000"/>
          <w:szCs w:val="24"/>
        </w:rPr>
      </w:pPr>
    </w:p>
    <w:p w:rsidR="00142E9B" w:rsidRPr="0049270C" w:rsidRDefault="00142E9B" w:rsidP="00142E9B">
      <w:pPr>
        <w:spacing w:after="0" w:line="240" w:lineRule="auto"/>
        <w:ind w:firstLine="539"/>
        <w:jc w:val="both"/>
        <w:rPr>
          <w:color w:val="000000"/>
          <w:szCs w:val="24"/>
        </w:rPr>
      </w:pPr>
      <w:r w:rsidRPr="0049270C">
        <w:rPr>
          <w:color w:val="000000"/>
          <w:szCs w:val="24"/>
        </w:rPr>
        <w:t xml:space="preserve">As larvas de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foram obtidas através da reprodução artificial de exemplares selvagens capturados na Bacia do Rio Uruguai e mantidos pelo LAPAD em seu plantel de reprodutores. </w:t>
      </w:r>
    </w:p>
    <w:p w:rsidR="00142E9B" w:rsidRPr="0049270C" w:rsidRDefault="00142E9B" w:rsidP="00142E9B">
      <w:pPr>
        <w:spacing w:after="0" w:line="240" w:lineRule="auto"/>
        <w:ind w:firstLine="539"/>
        <w:jc w:val="both"/>
        <w:rPr>
          <w:color w:val="000000"/>
          <w:szCs w:val="24"/>
        </w:rPr>
      </w:pPr>
      <w:r w:rsidRPr="0049270C">
        <w:rPr>
          <w:color w:val="000000"/>
          <w:szCs w:val="24"/>
        </w:rPr>
        <w:t xml:space="preserve">A desova foi induzida de acordo com o protocolo descrito por </w:t>
      </w:r>
      <w:proofErr w:type="spellStart"/>
      <w:r w:rsidRPr="0049270C">
        <w:rPr>
          <w:color w:val="000000"/>
          <w:szCs w:val="24"/>
        </w:rPr>
        <w:t>Woynarovich</w:t>
      </w:r>
      <w:proofErr w:type="spellEnd"/>
      <w:r w:rsidRPr="0049270C">
        <w:rPr>
          <w:color w:val="000000"/>
          <w:szCs w:val="24"/>
        </w:rPr>
        <w:t xml:space="preserve"> e </w:t>
      </w:r>
      <w:proofErr w:type="spellStart"/>
      <w:r w:rsidRPr="0049270C">
        <w:rPr>
          <w:color w:val="000000"/>
          <w:szCs w:val="24"/>
        </w:rPr>
        <w:t>Horváth</w:t>
      </w:r>
      <w:proofErr w:type="spellEnd"/>
      <w:r w:rsidRPr="0049270C">
        <w:rPr>
          <w:color w:val="000000"/>
          <w:szCs w:val="24"/>
        </w:rPr>
        <w:t xml:space="preserve"> (1980). Um pool contendo volumes iguais de sêmen proveniente de dois machos foi utilizado para fertilizar um pool contendo volumes iguais de ovos provenientes de duas fêmeas. Os ovos fertilizados foram </w:t>
      </w:r>
      <w:r w:rsidRPr="0049270C">
        <w:rPr>
          <w:color w:val="000000"/>
          <w:szCs w:val="24"/>
        </w:rPr>
        <w:lastRenderedPageBreak/>
        <w:t xml:space="preserve">incubados em incubadoras (tipo cilindro-cônicas) abastecidas por um sistema controlado de recirculação de água, com temperatura de 24,84 ± 0,35°C (média ± </w:t>
      </w:r>
      <w:proofErr w:type="spellStart"/>
      <w:r w:rsidRPr="0049270C">
        <w:rPr>
          <w:color w:val="000000"/>
          <w:szCs w:val="24"/>
        </w:rPr>
        <w:t>dp</w:t>
      </w:r>
      <w:proofErr w:type="spellEnd"/>
      <w:r w:rsidRPr="0049270C">
        <w:rPr>
          <w:color w:val="000000"/>
          <w:szCs w:val="24"/>
        </w:rPr>
        <w:t>).</w:t>
      </w:r>
    </w:p>
    <w:p w:rsidR="00142E9B" w:rsidRPr="0049270C" w:rsidRDefault="00142E9B" w:rsidP="00142E9B">
      <w:pPr>
        <w:spacing w:after="0" w:line="240" w:lineRule="auto"/>
        <w:jc w:val="both"/>
        <w:rPr>
          <w:color w:val="000000"/>
          <w:szCs w:val="24"/>
        </w:rPr>
      </w:pPr>
    </w:p>
    <w:p w:rsidR="00142E9B" w:rsidRPr="0049270C" w:rsidRDefault="00142E9B" w:rsidP="00142E9B">
      <w:pPr>
        <w:spacing w:after="0" w:line="240" w:lineRule="auto"/>
        <w:jc w:val="both"/>
        <w:rPr>
          <w:color w:val="000000"/>
          <w:szCs w:val="24"/>
        </w:rPr>
      </w:pPr>
      <w:r w:rsidRPr="0049270C">
        <w:rPr>
          <w:b/>
          <w:i/>
          <w:color w:val="000000"/>
          <w:szCs w:val="24"/>
        </w:rPr>
        <w:t>2.2– Ensaio masculinizante</w:t>
      </w:r>
    </w:p>
    <w:p w:rsidR="00142E9B" w:rsidRPr="0049270C" w:rsidRDefault="00142E9B" w:rsidP="00D66241">
      <w:pPr>
        <w:spacing w:after="0" w:line="240" w:lineRule="auto"/>
        <w:ind w:firstLine="539"/>
        <w:jc w:val="both"/>
        <w:rPr>
          <w:color w:val="000000"/>
          <w:szCs w:val="24"/>
        </w:rPr>
      </w:pPr>
    </w:p>
    <w:p w:rsidR="00DD4F57" w:rsidRPr="0049270C" w:rsidRDefault="00DD4F57" w:rsidP="00DD4F57">
      <w:pPr>
        <w:spacing w:after="0" w:line="240" w:lineRule="auto"/>
        <w:ind w:firstLine="539"/>
        <w:jc w:val="both"/>
        <w:rPr>
          <w:color w:val="000000"/>
          <w:szCs w:val="24"/>
        </w:rPr>
      </w:pPr>
      <w:r w:rsidRPr="0049270C">
        <w:rPr>
          <w:color w:val="000000"/>
          <w:szCs w:val="24"/>
        </w:rPr>
        <w:t xml:space="preserve">Larvas de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com 2 dias pós-eclosão (DPE), em início da alimentação exógena, foram distribuídas aleatoriamente na densidade de 6 larvas/L em tanques circulares (60 L) abastecidos por um sistema controlado de recirculação de água com taxa de renovação de 800% ao dia e qualidade da água com as seguintes características: temperatura: 24,80 ± 0,85°C; pH: 7,77 ± 0,15; condutividade eléctrica: 242,63 ± 27,69 µS/cm; oxigênio dissolvido: 7,54 ± 0,52 mg/L; amônia não ionizada: 0,17 ± 0,09 mg/L de NH</w:t>
      </w:r>
      <w:r w:rsidRPr="0049270C">
        <w:rPr>
          <w:color w:val="000000"/>
          <w:szCs w:val="24"/>
          <w:vertAlign w:val="subscript"/>
        </w:rPr>
        <w:t>3</w:t>
      </w:r>
      <w:r w:rsidRPr="0049270C">
        <w:rPr>
          <w:color w:val="000000"/>
          <w:szCs w:val="24"/>
        </w:rPr>
        <w:t>; nitrito: 0,11 ± 0,09 mg/L de NO</w:t>
      </w:r>
      <w:r w:rsidRPr="0049270C">
        <w:rPr>
          <w:color w:val="000000"/>
          <w:szCs w:val="24"/>
          <w:vertAlign w:val="subscript"/>
        </w:rPr>
        <w:t>2</w:t>
      </w:r>
      <w:r w:rsidRPr="0049270C">
        <w:rPr>
          <w:color w:val="000000"/>
          <w:szCs w:val="24"/>
        </w:rPr>
        <w:t>; alcalinidade total: 31,50 ± 5,08 mg/L de CaCO</w:t>
      </w:r>
      <w:r w:rsidRPr="0049270C">
        <w:rPr>
          <w:color w:val="000000"/>
          <w:szCs w:val="24"/>
          <w:vertAlign w:val="subscript"/>
        </w:rPr>
        <w:t>3</w:t>
      </w:r>
      <w:r w:rsidRPr="0049270C">
        <w:rPr>
          <w:color w:val="000000"/>
          <w:szCs w:val="24"/>
        </w:rPr>
        <w:t>; dureza total: 152,50 ± 23,95 mg/L de CaCO</w:t>
      </w:r>
      <w:r w:rsidRPr="0049270C">
        <w:rPr>
          <w:color w:val="000000"/>
          <w:szCs w:val="24"/>
          <w:vertAlign w:val="subscript"/>
        </w:rPr>
        <w:t>3</w:t>
      </w:r>
      <w:r w:rsidRPr="0049270C">
        <w:rPr>
          <w:color w:val="000000"/>
          <w:szCs w:val="24"/>
        </w:rPr>
        <w:t>.</w:t>
      </w:r>
    </w:p>
    <w:p w:rsidR="00DD4F57" w:rsidRPr="0049270C" w:rsidRDefault="00DD4F57" w:rsidP="00DD4F57">
      <w:pPr>
        <w:spacing w:after="0" w:line="240" w:lineRule="auto"/>
        <w:ind w:firstLine="539"/>
        <w:jc w:val="both"/>
        <w:rPr>
          <w:color w:val="000000"/>
          <w:szCs w:val="24"/>
        </w:rPr>
      </w:pPr>
      <w:r w:rsidRPr="0049270C">
        <w:rPr>
          <w:color w:val="000000"/>
          <w:szCs w:val="24"/>
        </w:rPr>
        <w:t xml:space="preserve">Durante 21 dias grupos de larvas de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foram alimentados até a saciedade aparente cinco vezes ao dia com dieta artificial suplementada com 17</w:t>
      </w:r>
      <w:r w:rsidRPr="0049270C">
        <w:rPr>
          <w:color w:val="000000"/>
          <w:szCs w:val="24"/>
          <w:lang w:val="en-US"/>
        </w:rPr>
        <w:t>α</w:t>
      </w:r>
      <w:r w:rsidRPr="0049270C">
        <w:rPr>
          <w:color w:val="000000"/>
          <w:szCs w:val="24"/>
        </w:rPr>
        <w:t>-</w:t>
      </w:r>
      <w:proofErr w:type="spellStart"/>
      <w:r w:rsidRPr="0049270C">
        <w:rPr>
          <w:color w:val="000000"/>
          <w:szCs w:val="24"/>
        </w:rPr>
        <w:t>metiltestosterona</w:t>
      </w:r>
      <w:proofErr w:type="spellEnd"/>
      <w:r w:rsidRPr="0049270C">
        <w:rPr>
          <w:color w:val="000000"/>
          <w:szCs w:val="24"/>
        </w:rPr>
        <w:t xml:space="preserve"> (MT), nas doses 0 (controle), 60, 80 ou 100 mg/kg de ração. </w:t>
      </w:r>
    </w:p>
    <w:p w:rsidR="00DD4F57" w:rsidRPr="0049270C" w:rsidRDefault="00DD4F57" w:rsidP="00DD4F57">
      <w:pPr>
        <w:spacing w:after="0" w:line="240" w:lineRule="auto"/>
        <w:ind w:firstLine="539"/>
        <w:jc w:val="both"/>
        <w:rPr>
          <w:color w:val="000000"/>
          <w:szCs w:val="24"/>
        </w:rPr>
      </w:pPr>
      <w:r w:rsidRPr="0049270C">
        <w:rPr>
          <w:color w:val="000000"/>
          <w:szCs w:val="24"/>
        </w:rPr>
        <w:t>A incorporação de MT foi realizada pelo método da evaporação de álcool etílico (</w:t>
      </w:r>
      <w:r w:rsidR="0099760C" w:rsidRPr="0049270C">
        <w:rPr>
          <w:color w:val="000000"/>
          <w:szCs w:val="24"/>
        </w:rPr>
        <w:t>SHELTON</w:t>
      </w:r>
      <w:r w:rsidRPr="0049270C">
        <w:rPr>
          <w:color w:val="000000"/>
          <w:szCs w:val="24"/>
        </w:rPr>
        <w:t xml:space="preserve"> et al., 1981) em ração comercial contendo 55% de proteína bruta (PB). As alimentações preparadas com cada dose de MT foram peneiradas (0-250, 250-650 e 650-850 µm), embaladas individualmente, refrigeradas até o momento de serem oferecidas e fornecidas na primeira (0-250 µm), segunda (250-650 µm) e terceira semanas (650-850 µm). Diariamente antes da primeira alimentação, os restos de ração e as fezes foram retirados das unidades experimentais através d</w:t>
      </w:r>
      <w:r w:rsidR="007E6F8E">
        <w:rPr>
          <w:color w:val="000000"/>
          <w:szCs w:val="24"/>
        </w:rPr>
        <w:t>a</w:t>
      </w:r>
      <w:r w:rsidRPr="0049270C">
        <w:rPr>
          <w:color w:val="000000"/>
          <w:szCs w:val="24"/>
        </w:rPr>
        <w:t xml:space="preserve"> </w:t>
      </w:r>
      <w:proofErr w:type="spellStart"/>
      <w:r w:rsidRPr="0049270C">
        <w:rPr>
          <w:color w:val="000000"/>
          <w:szCs w:val="24"/>
        </w:rPr>
        <w:t>sifonagem</w:t>
      </w:r>
      <w:proofErr w:type="spellEnd"/>
      <w:r w:rsidRPr="0049270C">
        <w:rPr>
          <w:color w:val="000000"/>
          <w:szCs w:val="24"/>
        </w:rPr>
        <w:t xml:space="preserve"> de fundo.</w:t>
      </w:r>
    </w:p>
    <w:p w:rsidR="00DD4F57" w:rsidRPr="0049270C" w:rsidRDefault="00DD4F57" w:rsidP="00DD4F57">
      <w:pPr>
        <w:spacing w:after="0" w:line="240" w:lineRule="auto"/>
        <w:ind w:firstLine="539"/>
        <w:jc w:val="both"/>
        <w:rPr>
          <w:color w:val="000000"/>
          <w:szCs w:val="24"/>
        </w:rPr>
      </w:pPr>
      <w:r w:rsidRPr="0049270C">
        <w:rPr>
          <w:color w:val="000000"/>
          <w:szCs w:val="24"/>
        </w:rPr>
        <w:t>Ao final do tratamento masculinizante, o volume de água de cada tanque foi aumentado em 40 L para favorecer o crescimento, e neste momento todos os peixes passaram a ser alimentados com uma dieta livre de hormônio (45% PB) até completarem 150 DPE, quando foi realizada a biometria (peso e comprimento) e retirada das gônadas para a avaliação histológica.</w:t>
      </w:r>
    </w:p>
    <w:p w:rsidR="00DD4F57" w:rsidRPr="0049270C" w:rsidRDefault="00DD4F57" w:rsidP="00DD4F57">
      <w:pPr>
        <w:spacing w:after="0" w:line="240" w:lineRule="auto"/>
        <w:ind w:firstLine="539"/>
        <w:jc w:val="both"/>
        <w:rPr>
          <w:color w:val="000000"/>
          <w:szCs w:val="24"/>
        </w:rPr>
      </w:pPr>
    </w:p>
    <w:p w:rsidR="00DD4F57" w:rsidRPr="0049270C" w:rsidRDefault="00DD4F57" w:rsidP="00DD4F57">
      <w:pPr>
        <w:spacing w:after="0" w:line="240" w:lineRule="auto"/>
        <w:jc w:val="both"/>
        <w:rPr>
          <w:b/>
          <w:i/>
          <w:color w:val="000000"/>
          <w:szCs w:val="24"/>
        </w:rPr>
      </w:pPr>
      <w:r w:rsidRPr="0049270C">
        <w:rPr>
          <w:b/>
          <w:i/>
          <w:color w:val="000000"/>
          <w:szCs w:val="24"/>
        </w:rPr>
        <w:t>2.3– Procedimentos histológicos</w:t>
      </w:r>
    </w:p>
    <w:p w:rsidR="00DD4F57" w:rsidRPr="0049270C" w:rsidRDefault="00DD4F57" w:rsidP="00DD4F57">
      <w:pPr>
        <w:spacing w:after="0" w:line="240" w:lineRule="auto"/>
        <w:ind w:firstLine="539"/>
        <w:jc w:val="both"/>
        <w:rPr>
          <w:color w:val="000000"/>
          <w:szCs w:val="24"/>
        </w:rPr>
      </w:pPr>
    </w:p>
    <w:p w:rsidR="00DD4F57" w:rsidRPr="0049270C" w:rsidRDefault="00DD4F57" w:rsidP="00E76047">
      <w:pPr>
        <w:spacing w:after="0" w:line="240" w:lineRule="auto"/>
        <w:ind w:firstLine="539"/>
        <w:jc w:val="both"/>
        <w:rPr>
          <w:color w:val="000000"/>
          <w:szCs w:val="24"/>
        </w:rPr>
      </w:pPr>
      <w:r w:rsidRPr="0049270C">
        <w:rPr>
          <w:color w:val="000000"/>
          <w:szCs w:val="24"/>
        </w:rPr>
        <w:t xml:space="preserve">Para a avaliação microscópica dos efeitos do hormônio na diferenciação </w:t>
      </w:r>
      <w:proofErr w:type="spellStart"/>
      <w:r w:rsidRPr="0049270C">
        <w:rPr>
          <w:color w:val="000000"/>
          <w:szCs w:val="24"/>
        </w:rPr>
        <w:t>gonadal</w:t>
      </w:r>
      <w:proofErr w:type="spellEnd"/>
      <w:r w:rsidRPr="0049270C">
        <w:rPr>
          <w:color w:val="000000"/>
          <w:szCs w:val="24"/>
        </w:rPr>
        <w:t xml:space="preserve"> do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trinta animais de cada tratamento masculinizante com MT foram </w:t>
      </w:r>
      <w:proofErr w:type="spellStart"/>
      <w:r w:rsidRPr="0049270C">
        <w:rPr>
          <w:color w:val="000000"/>
          <w:szCs w:val="24"/>
        </w:rPr>
        <w:t>eutanasiados</w:t>
      </w:r>
      <w:proofErr w:type="spellEnd"/>
      <w:r w:rsidRPr="0049270C">
        <w:rPr>
          <w:color w:val="000000"/>
          <w:szCs w:val="24"/>
        </w:rPr>
        <w:t xml:space="preserve"> com </w:t>
      </w:r>
      <w:proofErr w:type="spellStart"/>
      <w:r w:rsidRPr="0049270C">
        <w:rPr>
          <w:color w:val="000000"/>
          <w:szCs w:val="24"/>
        </w:rPr>
        <w:t>eugenol</w:t>
      </w:r>
      <w:proofErr w:type="spellEnd"/>
      <w:r w:rsidRPr="0049270C">
        <w:rPr>
          <w:color w:val="000000"/>
          <w:szCs w:val="24"/>
        </w:rPr>
        <w:t xml:space="preserve"> e deles foram retiradas amostras do terço médio das gônadas por meio de incisão ventral, que foram prontamente fixadas em solução de </w:t>
      </w:r>
      <w:proofErr w:type="spellStart"/>
      <w:r w:rsidRPr="0049270C">
        <w:rPr>
          <w:color w:val="000000"/>
          <w:szCs w:val="24"/>
        </w:rPr>
        <w:t>Karnovsky</w:t>
      </w:r>
      <w:proofErr w:type="spellEnd"/>
      <w:r w:rsidRPr="0049270C">
        <w:rPr>
          <w:color w:val="000000"/>
          <w:szCs w:val="24"/>
        </w:rPr>
        <w:t xml:space="preserve"> (</w:t>
      </w:r>
      <w:proofErr w:type="spellStart"/>
      <w:r w:rsidRPr="0049270C">
        <w:rPr>
          <w:color w:val="000000"/>
          <w:szCs w:val="24"/>
        </w:rPr>
        <w:t>Paraformol</w:t>
      </w:r>
      <w:proofErr w:type="spellEnd"/>
      <w:r w:rsidRPr="0049270C">
        <w:rPr>
          <w:color w:val="000000"/>
          <w:szCs w:val="24"/>
        </w:rPr>
        <w:t xml:space="preserve"> 2,0%; </w:t>
      </w:r>
      <w:proofErr w:type="spellStart"/>
      <w:r w:rsidRPr="0049270C">
        <w:rPr>
          <w:color w:val="000000"/>
          <w:szCs w:val="24"/>
        </w:rPr>
        <w:t>Glutaraldeído</w:t>
      </w:r>
      <w:proofErr w:type="spellEnd"/>
      <w:r w:rsidRPr="0049270C">
        <w:rPr>
          <w:color w:val="000000"/>
          <w:szCs w:val="24"/>
        </w:rPr>
        <w:t xml:space="preserve"> 2,0% e Tampão Fosfato 0,1 M; pH 7,4) para a aplicação das técnicas histológicas: inclusão em parafina, </w:t>
      </w:r>
      <w:proofErr w:type="spellStart"/>
      <w:r w:rsidRPr="0049270C">
        <w:rPr>
          <w:color w:val="000000"/>
          <w:szCs w:val="24"/>
        </w:rPr>
        <w:t>microtomia</w:t>
      </w:r>
      <w:proofErr w:type="spellEnd"/>
      <w:r w:rsidRPr="0049270C">
        <w:rPr>
          <w:color w:val="000000"/>
          <w:szCs w:val="24"/>
        </w:rPr>
        <w:t xml:space="preserve"> (cortes seriados de 5,0 µm), coloração e montagem das lâminas. As secções de 5,0 µm foram coradas com Hematoxilina / Eosina (HE) ou Ácido Periódico de </w:t>
      </w:r>
      <w:proofErr w:type="spellStart"/>
      <w:r w:rsidRPr="0049270C">
        <w:rPr>
          <w:color w:val="000000"/>
          <w:szCs w:val="24"/>
        </w:rPr>
        <w:t>Schiff</w:t>
      </w:r>
      <w:proofErr w:type="spellEnd"/>
      <w:r w:rsidRPr="0049270C">
        <w:rPr>
          <w:color w:val="000000"/>
          <w:szCs w:val="24"/>
        </w:rPr>
        <w:t xml:space="preserve"> + Hematoxilina Férrica + </w:t>
      </w:r>
      <w:proofErr w:type="spellStart"/>
      <w:r w:rsidRPr="0049270C">
        <w:rPr>
          <w:color w:val="000000"/>
          <w:szCs w:val="24"/>
        </w:rPr>
        <w:t>Metanil</w:t>
      </w:r>
      <w:proofErr w:type="spellEnd"/>
      <w:r w:rsidRPr="0049270C">
        <w:rPr>
          <w:color w:val="000000"/>
          <w:szCs w:val="24"/>
        </w:rPr>
        <w:t xml:space="preserve"> </w:t>
      </w:r>
      <w:proofErr w:type="spellStart"/>
      <w:r w:rsidRPr="0049270C">
        <w:rPr>
          <w:color w:val="000000"/>
          <w:szCs w:val="24"/>
        </w:rPr>
        <w:t>Yellow</w:t>
      </w:r>
      <w:proofErr w:type="spellEnd"/>
      <w:r w:rsidRPr="0049270C">
        <w:rPr>
          <w:color w:val="000000"/>
          <w:szCs w:val="24"/>
        </w:rPr>
        <w:t xml:space="preserve"> (MY), para serem analisadas em microscópio de luz. </w:t>
      </w:r>
    </w:p>
    <w:p w:rsidR="00DD4F57" w:rsidRPr="0049270C" w:rsidRDefault="00DD4F57" w:rsidP="00DD4F57">
      <w:pPr>
        <w:spacing w:after="0" w:line="240" w:lineRule="auto"/>
        <w:ind w:firstLine="539"/>
        <w:jc w:val="both"/>
        <w:rPr>
          <w:color w:val="000000"/>
          <w:szCs w:val="24"/>
        </w:rPr>
      </w:pPr>
    </w:p>
    <w:p w:rsidR="00DD4F57" w:rsidRPr="0049270C" w:rsidRDefault="00DD4F57" w:rsidP="00DD4F57">
      <w:pPr>
        <w:spacing w:after="0" w:line="240" w:lineRule="auto"/>
        <w:jc w:val="both"/>
        <w:rPr>
          <w:b/>
          <w:i/>
          <w:color w:val="000000"/>
          <w:szCs w:val="24"/>
        </w:rPr>
      </w:pPr>
      <w:r w:rsidRPr="0049270C">
        <w:rPr>
          <w:b/>
          <w:i/>
          <w:color w:val="000000"/>
          <w:szCs w:val="24"/>
        </w:rPr>
        <w:t>2.4– Análise estatística</w:t>
      </w:r>
    </w:p>
    <w:p w:rsidR="00DD4F57" w:rsidRPr="0049270C" w:rsidRDefault="00DD4F57" w:rsidP="00DD4F57">
      <w:pPr>
        <w:spacing w:after="0" w:line="240" w:lineRule="auto"/>
        <w:ind w:firstLine="539"/>
        <w:jc w:val="both"/>
        <w:rPr>
          <w:color w:val="000000"/>
          <w:szCs w:val="24"/>
        </w:rPr>
      </w:pPr>
    </w:p>
    <w:p w:rsidR="00DD4F57" w:rsidRPr="0049270C" w:rsidRDefault="002331AB" w:rsidP="002331AB">
      <w:pPr>
        <w:spacing w:after="0" w:line="240" w:lineRule="auto"/>
        <w:ind w:firstLine="539"/>
        <w:jc w:val="both"/>
        <w:rPr>
          <w:color w:val="000000"/>
          <w:szCs w:val="24"/>
        </w:rPr>
      </w:pPr>
      <w:r w:rsidRPr="0049270C">
        <w:rPr>
          <w:color w:val="000000"/>
          <w:szCs w:val="24"/>
        </w:rPr>
        <w:t>T</w:t>
      </w:r>
      <w:r w:rsidR="00DD4F57" w:rsidRPr="0049270C">
        <w:rPr>
          <w:color w:val="000000"/>
          <w:szCs w:val="24"/>
        </w:rPr>
        <w:t>abelas de contingência (2 x 2) da frequência dos sexos foram analisadas pelo teste exato de Fisher ao nível de significância de 5,0% (</w:t>
      </w:r>
      <w:r w:rsidR="001E254F" w:rsidRPr="0049270C">
        <w:rPr>
          <w:color w:val="000000"/>
          <w:szCs w:val="24"/>
        </w:rPr>
        <w:t>ZAR</w:t>
      </w:r>
      <w:r w:rsidR="00DD4F57" w:rsidRPr="0049270C">
        <w:rPr>
          <w:color w:val="000000"/>
          <w:szCs w:val="24"/>
        </w:rPr>
        <w:t xml:space="preserve">, 2010), aplicado para testar se a proporção entre machos e o total de fêmeas genotípicas (gônadas femininas + gônadas intersexuais + gônadas masculinizadas) para cada dose masculinizante e o controle diferiu da proporção equilibrada 1:1, e para testar a proporção entre fêmeas com gônada exclusivamente feminina (gônada feminina) e </w:t>
      </w:r>
      <w:proofErr w:type="spellStart"/>
      <w:r w:rsidR="00DD4F57" w:rsidRPr="0049270C">
        <w:rPr>
          <w:color w:val="000000"/>
          <w:szCs w:val="24"/>
        </w:rPr>
        <w:t>neomachos</w:t>
      </w:r>
      <w:proofErr w:type="spellEnd"/>
      <w:r w:rsidR="00DD4F57" w:rsidRPr="0049270C">
        <w:rPr>
          <w:color w:val="000000"/>
          <w:szCs w:val="24"/>
        </w:rPr>
        <w:t xml:space="preserve"> (gônada masculinizada) entre os tratamentos masculinizantes.</w:t>
      </w:r>
      <w:r w:rsidRPr="0049270C">
        <w:rPr>
          <w:color w:val="000000"/>
          <w:szCs w:val="24"/>
        </w:rPr>
        <w:t xml:space="preserve"> </w:t>
      </w:r>
      <w:r w:rsidR="00DD4F57" w:rsidRPr="0049270C">
        <w:rPr>
          <w:color w:val="000000"/>
          <w:szCs w:val="24"/>
        </w:rPr>
        <w:t xml:space="preserve">Para avaliar se houve efeito do hormônio, uma hipótese unilateral foi testada para avaliar se a proporção entre fêmeas masculinizadas somada a de peixes intersexuais (gônadas masculinizadas </w:t>
      </w:r>
      <w:proofErr w:type="gramStart"/>
      <w:r w:rsidR="00DD4F57" w:rsidRPr="0049270C">
        <w:rPr>
          <w:color w:val="000000"/>
          <w:szCs w:val="24"/>
        </w:rPr>
        <w:t>+</w:t>
      </w:r>
      <w:proofErr w:type="gramEnd"/>
      <w:r w:rsidR="00DD4F57" w:rsidRPr="0049270C">
        <w:rPr>
          <w:color w:val="000000"/>
          <w:szCs w:val="24"/>
        </w:rPr>
        <w:t xml:space="preserve"> intersexuais) e fêmeas com gônada exclusivamente feminina (gônadas femininas), foi maior nos tratamentos do que no controle. </w:t>
      </w:r>
    </w:p>
    <w:p w:rsidR="00DD4F57" w:rsidRPr="0049270C" w:rsidRDefault="00DD4F57" w:rsidP="00DD4F57">
      <w:pPr>
        <w:spacing w:after="0" w:line="240" w:lineRule="auto"/>
        <w:ind w:firstLine="539"/>
        <w:jc w:val="both"/>
        <w:rPr>
          <w:color w:val="000000"/>
          <w:szCs w:val="24"/>
        </w:rPr>
      </w:pPr>
      <w:r w:rsidRPr="0049270C">
        <w:rPr>
          <w:color w:val="000000"/>
          <w:szCs w:val="24"/>
        </w:rPr>
        <w:t>Os peixes com gônadas indiferenciadas foram excluídos de todas as análises estatísticas.</w:t>
      </w:r>
    </w:p>
    <w:p w:rsidR="00D66241" w:rsidRPr="0049270C" w:rsidRDefault="00D66241" w:rsidP="00736E8F">
      <w:pPr>
        <w:spacing w:line="240" w:lineRule="auto"/>
        <w:ind w:firstLine="539"/>
        <w:jc w:val="both"/>
        <w:rPr>
          <w:color w:val="000000"/>
          <w:szCs w:val="24"/>
        </w:rPr>
      </w:pPr>
    </w:p>
    <w:p w:rsidR="00376441" w:rsidRPr="0049270C" w:rsidRDefault="0084602C" w:rsidP="00D66241">
      <w:pPr>
        <w:pStyle w:val="Ttulo1"/>
        <w:spacing w:before="0" w:after="0"/>
        <w:jc w:val="both"/>
        <w:rPr>
          <w:rFonts w:ascii="Times New Roman" w:hAnsi="Times New Roman" w:cs="Times New Roman"/>
          <w:sz w:val="24"/>
          <w:szCs w:val="24"/>
        </w:rPr>
      </w:pPr>
      <w:r w:rsidRPr="0049270C">
        <w:rPr>
          <w:rFonts w:ascii="Times New Roman" w:hAnsi="Times New Roman" w:cs="Times New Roman"/>
          <w:sz w:val="24"/>
          <w:szCs w:val="24"/>
        </w:rPr>
        <w:lastRenderedPageBreak/>
        <w:t>3- RESULTADOS E DISCUSSÃO</w:t>
      </w:r>
    </w:p>
    <w:p w:rsidR="00C86FAA" w:rsidRPr="0049270C" w:rsidRDefault="00C86FAA" w:rsidP="00D66241">
      <w:pPr>
        <w:spacing w:after="0" w:line="240" w:lineRule="auto"/>
        <w:ind w:firstLine="539"/>
        <w:jc w:val="both"/>
        <w:rPr>
          <w:color w:val="000000"/>
          <w:szCs w:val="24"/>
        </w:rPr>
      </w:pPr>
    </w:p>
    <w:p w:rsidR="004A1FEE" w:rsidRPr="0049270C" w:rsidRDefault="004A1FEE" w:rsidP="004A1FEE">
      <w:pPr>
        <w:spacing w:after="0" w:line="240" w:lineRule="auto"/>
        <w:ind w:firstLine="539"/>
        <w:jc w:val="both"/>
        <w:rPr>
          <w:color w:val="000000"/>
          <w:szCs w:val="24"/>
        </w:rPr>
      </w:pPr>
      <w:r w:rsidRPr="0049270C">
        <w:rPr>
          <w:color w:val="000000"/>
          <w:szCs w:val="24"/>
        </w:rPr>
        <w:t xml:space="preserve">Aos 150 DPE os peixes apresentaram crescimento similar em todos os tratamentos, com peso corporal (média ± </w:t>
      </w:r>
      <w:proofErr w:type="spellStart"/>
      <w:r w:rsidRPr="0049270C">
        <w:rPr>
          <w:color w:val="000000"/>
          <w:szCs w:val="24"/>
        </w:rPr>
        <w:t>dp</w:t>
      </w:r>
      <w:proofErr w:type="spellEnd"/>
      <w:r w:rsidRPr="0049270C">
        <w:rPr>
          <w:color w:val="000000"/>
          <w:szCs w:val="24"/>
        </w:rPr>
        <w:t xml:space="preserve">) de 10,09 ± 1,70 g e comprimento total de 8,47 ± 4,39 cm. </w:t>
      </w:r>
    </w:p>
    <w:p w:rsidR="004A1FEE" w:rsidRPr="0049270C" w:rsidRDefault="004A1FEE" w:rsidP="004A1FEE">
      <w:pPr>
        <w:spacing w:after="0" w:line="240" w:lineRule="auto"/>
        <w:ind w:firstLine="539"/>
        <w:jc w:val="both"/>
        <w:rPr>
          <w:color w:val="000000"/>
          <w:szCs w:val="24"/>
        </w:rPr>
      </w:pPr>
      <w:r w:rsidRPr="0049270C">
        <w:rPr>
          <w:color w:val="000000"/>
          <w:szCs w:val="24"/>
        </w:rPr>
        <w:t xml:space="preserve">Através da análise histológica as gônadas foram classificadas em gônadas indiferenciadas, nas quais a presença das células germinativas primordiais não possibilitou a </w:t>
      </w:r>
      <w:proofErr w:type="spellStart"/>
      <w:r w:rsidRPr="0049270C">
        <w:rPr>
          <w:color w:val="000000"/>
          <w:szCs w:val="24"/>
        </w:rPr>
        <w:t>sexagem</w:t>
      </w:r>
      <w:proofErr w:type="spellEnd"/>
      <w:r w:rsidRPr="0049270C">
        <w:rPr>
          <w:color w:val="000000"/>
          <w:szCs w:val="24"/>
        </w:rPr>
        <w:t xml:space="preserve">; gônadas masculinas, caracterizando os machos; gônadas femininas, caracterizando as fêmeas; gônadas intersexuais, com a presença simultânea de tecido masculino e feminino; e as gônadas masculinizadas, nas quais as lamelas ovarianas contendo exclusivamente células da linhagem germinativa masculina caracterizaram as gônadas femininas masculinizadas dos </w:t>
      </w:r>
      <w:proofErr w:type="spellStart"/>
      <w:r w:rsidRPr="0049270C">
        <w:rPr>
          <w:color w:val="000000"/>
          <w:szCs w:val="24"/>
        </w:rPr>
        <w:t>neomachos</w:t>
      </w:r>
      <w:proofErr w:type="spellEnd"/>
      <w:r w:rsidRPr="0049270C">
        <w:rPr>
          <w:color w:val="000000"/>
          <w:szCs w:val="24"/>
        </w:rPr>
        <w:t xml:space="preserve"> de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w:t>
      </w:r>
    </w:p>
    <w:p w:rsidR="002331AB" w:rsidRPr="0049270C" w:rsidRDefault="002331AB" w:rsidP="002331AB">
      <w:pPr>
        <w:spacing w:after="0" w:line="240" w:lineRule="auto"/>
        <w:ind w:firstLine="539"/>
        <w:jc w:val="both"/>
        <w:rPr>
          <w:color w:val="000000"/>
          <w:szCs w:val="24"/>
        </w:rPr>
      </w:pPr>
      <w:r w:rsidRPr="0049270C">
        <w:rPr>
          <w:color w:val="000000"/>
          <w:szCs w:val="24"/>
        </w:rPr>
        <w:t>Um desvio significativo (</w:t>
      </w:r>
      <w:r w:rsidRPr="0049270C">
        <w:rPr>
          <w:i/>
          <w:color w:val="000000"/>
          <w:szCs w:val="24"/>
        </w:rPr>
        <w:t>P</w:t>
      </w:r>
      <w:r w:rsidRPr="0049270C">
        <w:rPr>
          <w:color w:val="000000"/>
          <w:szCs w:val="24"/>
        </w:rPr>
        <w:t xml:space="preserve"> &lt; 0,05) na proporção sexual foi observado em favor dos machos, tanto no controle quanto nos grupos tratados com MT (Tabela </w:t>
      </w:r>
      <w:r w:rsidR="00390093" w:rsidRPr="0049270C">
        <w:rPr>
          <w:color w:val="000000"/>
          <w:szCs w:val="24"/>
        </w:rPr>
        <w:t>1</w:t>
      </w:r>
      <w:r w:rsidRPr="0049270C">
        <w:rPr>
          <w:color w:val="000000"/>
          <w:szCs w:val="24"/>
        </w:rPr>
        <w:t>).</w:t>
      </w:r>
    </w:p>
    <w:p w:rsidR="009D166D" w:rsidRDefault="002331AB" w:rsidP="002331AB">
      <w:pPr>
        <w:spacing w:after="0" w:line="240" w:lineRule="auto"/>
        <w:ind w:firstLine="539"/>
        <w:jc w:val="both"/>
        <w:rPr>
          <w:color w:val="000000"/>
          <w:szCs w:val="24"/>
        </w:rPr>
      </w:pPr>
      <w:r w:rsidRPr="0049270C">
        <w:rPr>
          <w:color w:val="000000"/>
          <w:szCs w:val="24"/>
        </w:rPr>
        <w:t xml:space="preserve">Independentemente do tratamento masculinizante, as fêmeas genotípicas (gônadas femininas </w:t>
      </w:r>
      <w:proofErr w:type="gramStart"/>
      <w:r w:rsidRPr="0049270C">
        <w:rPr>
          <w:color w:val="000000"/>
          <w:szCs w:val="24"/>
        </w:rPr>
        <w:t>+</w:t>
      </w:r>
      <w:proofErr w:type="gramEnd"/>
      <w:r w:rsidRPr="0049270C">
        <w:rPr>
          <w:color w:val="000000"/>
          <w:szCs w:val="24"/>
        </w:rPr>
        <w:t xml:space="preserve"> gônadas intersexuais + gônadas masculinizadas) ocorreram em baixa frequência (≤ 20%), limitando o número de peixes passíveis de inversão. </w:t>
      </w:r>
    </w:p>
    <w:p w:rsidR="004A1FEE" w:rsidRPr="0049270C" w:rsidRDefault="002331AB" w:rsidP="002331AB">
      <w:pPr>
        <w:spacing w:after="0" w:line="240" w:lineRule="auto"/>
        <w:ind w:firstLine="539"/>
        <w:jc w:val="both"/>
        <w:rPr>
          <w:color w:val="000000"/>
          <w:szCs w:val="24"/>
        </w:rPr>
      </w:pPr>
      <w:r w:rsidRPr="0049270C">
        <w:rPr>
          <w:color w:val="000000"/>
          <w:szCs w:val="24"/>
        </w:rPr>
        <w:t xml:space="preserve">A produção de </w:t>
      </w:r>
      <w:proofErr w:type="spellStart"/>
      <w:r w:rsidRPr="0049270C">
        <w:rPr>
          <w:color w:val="000000"/>
          <w:szCs w:val="24"/>
        </w:rPr>
        <w:t>neomachos</w:t>
      </w:r>
      <w:proofErr w:type="spellEnd"/>
      <w:r w:rsidRPr="0049270C">
        <w:rPr>
          <w:color w:val="000000"/>
          <w:szCs w:val="24"/>
        </w:rPr>
        <w:t xml:space="preserve"> (fêmeas masculinizadas) foi de 20, 40 e 50%, respectivamente da maior para a menor dose de MT testadas, valores que representaram a porcentagem de fêmeas genotípicas (gônada feminina </w:t>
      </w:r>
      <w:proofErr w:type="gramStart"/>
      <w:r w:rsidRPr="0049270C">
        <w:rPr>
          <w:color w:val="000000"/>
          <w:szCs w:val="24"/>
        </w:rPr>
        <w:t>+</w:t>
      </w:r>
      <w:proofErr w:type="gramEnd"/>
      <w:r w:rsidRPr="0049270C">
        <w:rPr>
          <w:color w:val="000000"/>
          <w:szCs w:val="24"/>
        </w:rPr>
        <w:t xml:space="preserve"> gônada intersexual + gônada masculinizada) passíveis de serem masculinizadas, no entanto, diferenças significativas não foram observadas entre as doses (Tabela </w:t>
      </w:r>
      <w:r w:rsidR="00390093" w:rsidRPr="0049270C">
        <w:rPr>
          <w:color w:val="000000"/>
          <w:szCs w:val="24"/>
        </w:rPr>
        <w:t>1</w:t>
      </w:r>
      <w:r w:rsidRPr="0049270C">
        <w:rPr>
          <w:color w:val="000000"/>
          <w:szCs w:val="24"/>
        </w:rPr>
        <w:t>). Peixes intersexuais foram observados em todos os grupos tratados com MT.</w:t>
      </w:r>
    </w:p>
    <w:p w:rsidR="004A1FEE" w:rsidRPr="0049270C" w:rsidRDefault="004A1FEE" w:rsidP="002331AB">
      <w:pPr>
        <w:spacing w:after="0" w:line="240" w:lineRule="auto"/>
        <w:jc w:val="both"/>
        <w:rPr>
          <w:color w:val="000000"/>
          <w:szCs w:val="24"/>
        </w:rPr>
      </w:pPr>
    </w:p>
    <w:p w:rsidR="002331AB" w:rsidRPr="0049270C" w:rsidRDefault="002331AB" w:rsidP="001117DA">
      <w:pPr>
        <w:spacing w:after="120" w:line="240" w:lineRule="auto"/>
        <w:ind w:left="284" w:right="566"/>
        <w:jc w:val="both"/>
        <w:rPr>
          <w:color w:val="000000"/>
          <w:szCs w:val="24"/>
        </w:rPr>
      </w:pPr>
      <w:r w:rsidRPr="0049270C">
        <w:rPr>
          <w:color w:val="000000"/>
          <w:szCs w:val="24"/>
        </w:rPr>
        <w:t xml:space="preserve">Tabela </w:t>
      </w:r>
      <w:r w:rsidR="00390093" w:rsidRPr="0049270C">
        <w:rPr>
          <w:color w:val="000000"/>
          <w:szCs w:val="24"/>
        </w:rPr>
        <w:t>1</w:t>
      </w:r>
      <w:r w:rsidRPr="0049270C">
        <w:rPr>
          <w:color w:val="000000"/>
          <w:szCs w:val="24"/>
        </w:rPr>
        <w:t xml:space="preserve">. Classificação das gônadas de </w:t>
      </w:r>
      <w:proofErr w:type="spellStart"/>
      <w:r w:rsidRPr="0049270C">
        <w:rPr>
          <w:i/>
          <w:color w:val="000000"/>
          <w:szCs w:val="24"/>
        </w:rPr>
        <w:t>Rhamdia</w:t>
      </w:r>
      <w:proofErr w:type="spellEnd"/>
      <w:r w:rsidRPr="0049270C">
        <w:rPr>
          <w:i/>
          <w:color w:val="000000"/>
          <w:szCs w:val="24"/>
        </w:rPr>
        <w:t xml:space="preserve"> </w:t>
      </w:r>
      <w:proofErr w:type="spellStart"/>
      <w:r w:rsidRPr="0049270C">
        <w:rPr>
          <w:i/>
          <w:color w:val="000000"/>
          <w:szCs w:val="24"/>
        </w:rPr>
        <w:t>quelen</w:t>
      </w:r>
      <w:proofErr w:type="spellEnd"/>
      <w:r w:rsidRPr="0049270C">
        <w:rPr>
          <w:color w:val="000000"/>
          <w:szCs w:val="24"/>
        </w:rPr>
        <w:t xml:space="preserve"> (150 dias pós-eclosão) alimentados durante 21 dias com dieta comercial suplementada com diferentes doses de 17α-</w:t>
      </w:r>
      <w:proofErr w:type="spellStart"/>
      <w:r w:rsidRPr="0049270C">
        <w:rPr>
          <w:color w:val="000000"/>
          <w:szCs w:val="24"/>
        </w:rPr>
        <w:t>metiltestosterona</w:t>
      </w:r>
      <w:proofErr w:type="spellEnd"/>
      <w:r w:rsidRPr="0049270C">
        <w:rPr>
          <w:color w:val="000000"/>
          <w:szCs w:val="24"/>
        </w:rPr>
        <w:t xml:space="preserve"> (MT).</w:t>
      </w:r>
    </w:p>
    <w:tbl>
      <w:tblPr>
        <w:tblW w:w="0" w:type="auto"/>
        <w:jc w:val="center"/>
        <w:tblLayout w:type="fixed"/>
        <w:tblLook w:val="04A0" w:firstRow="1" w:lastRow="0" w:firstColumn="1" w:lastColumn="0" w:noHBand="0" w:noVBand="1"/>
      </w:tblPr>
      <w:tblGrid>
        <w:gridCol w:w="2977"/>
        <w:gridCol w:w="1559"/>
        <w:gridCol w:w="851"/>
        <w:gridCol w:w="1134"/>
        <w:gridCol w:w="992"/>
      </w:tblGrid>
      <w:tr w:rsidR="002331AB" w:rsidRPr="0049270C" w:rsidTr="00736C6E">
        <w:trPr>
          <w:jc w:val="center"/>
        </w:trPr>
        <w:tc>
          <w:tcPr>
            <w:tcW w:w="2977" w:type="dxa"/>
            <w:vMerge w:val="restart"/>
            <w:tcBorders>
              <w:top w:val="single" w:sz="4" w:space="0" w:color="auto"/>
            </w:tcBorders>
            <w:vAlign w:val="center"/>
          </w:tcPr>
          <w:p w:rsidR="002331AB" w:rsidRPr="0049270C" w:rsidRDefault="002331AB" w:rsidP="007551B2">
            <w:pPr>
              <w:spacing w:after="0" w:line="240" w:lineRule="auto"/>
              <w:rPr>
                <w:color w:val="000000"/>
                <w:szCs w:val="24"/>
              </w:rPr>
            </w:pPr>
            <w:r w:rsidRPr="0049270C">
              <w:rPr>
                <w:color w:val="000000"/>
                <w:szCs w:val="24"/>
              </w:rPr>
              <w:t>Classificação das gônadas</w:t>
            </w:r>
          </w:p>
        </w:tc>
        <w:tc>
          <w:tcPr>
            <w:tcW w:w="4536" w:type="dxa"/>
            <w:gridSpan w:val="4"/>
            <w:tcBorders>
              <w:top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Doses de MT (mg/kg de ração)</w:t>
            </w:r>
          </w:p>
        </w:tc>
      </w:tr>
      <w:tr w:rsidR="00736C6E" w:rsidRPr="0049270C" w:rsidTr="00736C6E">
        <w:trPr>
          <w:jc w:val="center"/>
        </w:trPr>
        <w:tc>
          <w:tcPr>
            <w:tcW w:w="2977" w:type="dxa"/>
            <w:vMerge/>
            <w:tcBorders>
              <w:bottom w:val="single" w:sz="4" w:space="0" w:color="auto"/>
            </w:tcBorders>
            <w:vAlign w:val="center"/>
          </w:tcPr>
          <w:p w:rsidR="002331AB" w:rsidRPr="0049270C" w:rsidRDefault="002331AB" w:rsidP="007551B2">
            <w:pPr>
              <w:spacing w:after="0" w:line="240" w:lineRule="auto"/>
              <w:rPr>
                <w:color w:val="000000"/>
                <w:szCs w:val="24"/>
              </w:rPr>
            </w:pPr>
          </w:p>
        </w:tc>
        <w:tc>
          <w:tcPr>
            <w:tcW w:w="1559" w:type="dxa"/>
            <w:tcBorders>
              <w:top w:val="single" w:sz="4" w:space="0" w:color="auto"/>
              <w:bottom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0 (Controle)</w:t>
            </w:r>
          </w:p>
        </w:tc>
        <w:tc>
          <w:tcPr>
            <w:tcW w:w="851" w:type="dxa"/>
            <w:tcBorders>
              <w:top w:val="single" w:sz="4" w:space="0" w:color="auto"/>
              <w:bottom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60</w:t>
            </w:r>
          </w:p>
        </w:tc>
        <w:tc>
          <w:tcPr>
            <w:tcW w:w="1134" w:type="dxa"/>
            <w:tcBorders>
              <w:top w:val="single" w:sz="4" w:space="0" w:color="auto"/>
              <w:bottom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80</w:t>
            </w:r>
          </w:p>
        </w:tc>
        <w:tc>
          <w:tcPr>
            <w:tcW w:w="992" w:type="dxa"/>
            <w:tcBorders>
              <w:top w:val="single" w:sz="4" w:space="0" w:color="auto"/>
              <w:bottom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100</w:t>
            </w:r>
          </w:p>
        </w:tc>
      </w:tr>
      <w:tr w:rsidR="00736C6E" w:rsidRPr="0049270C" w:rsidTr="00736C6E">
        <w:trPr>
          <w:jc w:val="center"/>
        </w:trPr>
        <w:tc>
          <w:tcPr>
            <w:tcW w:w="2977" w:type="dxa"/>
            <w:vAlign w:val="center"/>
          </w:tcPr>
          <w:p w:rsidR="002331AB" w:rsidRPr="0049270C" w:rsidRDefault="002331AB" w:rsidP="007551B2">
            <w:pPr>
              <w:spacing w:after="0" w:line="240" w:lineRule="auto"/>
              <w:rPr>
                <w:color w:val="000000"/>
                <w:szCs w:val="24"/>
              </w:rPr>
            </w:pPr>
            <w:r w:rsidRPr="0049270C">
              <w:rPr>
                <w:color w:val="000000"/>
                <w:szCs w:val="24"/>
              </w:rPr>
              <w:t>Masculina</w:t>
            </w:r>
          </w:p>
        </w:tc>
        <w:tc>
          <w:tcPr>
            <w:tcW w:w="1559" w:type="dxa"/>
            <w:vAlign w:val="center"/>
          </w:tcPr>
          <w:p w:rsidR="002331AB" w:rsidRPr="0049270C" w:rsidRDefault="002331AB" w:rsidP="007551B2">
            <w:pPr>
              <w:spacing w:after="0" w:line="240" w:lineRule="auto"/>
              <w:jc w:val="center"/>
              <w:rPr>
                <w:color w:val="000000"/>
                <w:szCs w:val="24"/>
              </w:rPr>
            </w:pPr>
            <w:r w:rsidRPr="0049270C">
              <w:rPr>
                <w:color w:val="000000"/>
                <w:szCs w:val="24"/>
              </w:rPr>
              <w:t>20*</w:t>
            </w:r>
          </w:p>
        </w:tc>
        <w:tc>
          <w:tcPr>
            <w:tcW w:w="851" w:type="dxa"/>
            <w:vAlign w:val="center"/>
          </w:tcPr>
          <w:p w:rsidR="002331AB" w:rsidRPr="0049270C" w:rsidRDefault="002331AB" w:rsidP="007551B2">
            <w:pPr>
              <w:spacing w:after="0" w:line="240" w:lineRule="auto"/>
              <w:jc w:val="center"/>
              <w:rPr>
                <w:color w:val="000000"/>
                <w:szCs w:val="24"/>
              </w:rPr>
            </w:pPr>
            <w:r w:rsidRPr="0049270C">
              <w:rPr>
                <w:color w:val="000000"/>
                <w:szCs w:val="24"/>
              </w:rPr>
              <w:t>21*</w:t>
            </w:r>
          </w:p>
        </w:tc>
        <w:tc>
          <w:tcPr>
            <w:tcW w:w="1134" w:type="dxa"/>
            <w:vAlign w:val="center"/>
          </w:tcPr>
          <w:p w:rsidR="002331AB" w:rsidRPr="0049270C" w:rsidRDefault="002331AB" w:rsidP="007551B2">
            <w:pPr>
              <w:spacing w:after="0" w:line="240" w:lineRule="auto"/>
              <w:jc w:val="center"/>
              <w:rPr>
                <w:color w:val="000000"/>
                <w:szCs w:val="24"/>
              </w:rPr>
            </w:pPr>
            <w:r w:rsidRPr="0049270C">
              <w:rPr>
                <w:color w:val="000000"/>
                <w:szCs w:val="24"/>
              </w:rPr>
              <w:t>20*</w:t>
            </w:r>
          </w:p>
        </w:tc>
        <w:tc>
          <w:tcPr>
            <w:tcW w:w="992" w:type="dxa"/>
            <w:vAlign w:val="center"/>
          </w:tcPr>
          <w:p w:rsidR="002331AB" w:rsidRPr="0049270C" w:rsidRDefault="002331AB" w:rsidP="007551B2">
            <w:pPr>
              <w:spacing w:after="0" w:line="240" w:lineRule="auto"/>
              <w:jc w:val="center"/>
              <w:rPr>
                <w:color w:val="000000"/>
                <w:szCs w:val="24"/>
              </w:rPr>
            </w:pPr>
            <w:r w:rsidRPr="0049270C">
              <w:rPr>
                <w:color w:val="000000"/>
                <w:szCs w:val="24"/>
              </w:rPr>
              <w:t>20*</w:t>
            </w:r>
          </w:p>
        </w:tc>
      </w:tr>
      <w:tr w:rsidR="00736C6E" w:rsidRPr="0049270C" w:rsidTr="00736C6E">
        <w:trPr>
          <w:jc w:val="center"/>
        </w:trPr>
        <w:tc>
          <w:tcPr>
            <w:tcW w:w="2977" w:type="dxa"/>
            <w:vAlign w:val="center"/>
          </w:tcPr>
          <w:p w:rsidR="002331AB" w:rsidRPr="0049270C" w:rsidRDefault="002331AB" w:rsidP="007551B2">
            <w:pPr>
              <w:spacing w:after="0" w:line="240" w:lineRule="auto"/>
              <w:rPr>
                <w:color w:val="000000"/>
                <w:szCs w:val="24"/>
              </w:rPr>
            </w:pPr>
            <w:r w:rsidRPr="0049270C">
              <w:rPr>
                <w:color w:val="000000"/>
                <w:szCs w:val="24"/>
              </w:rPr>
              <w:t>Feminina</w:t>
            </w:r>
          </w:p>
        </w:tc>
        <w:tc>
          <w:tcPr>
            <w:tcW w:w="1559" w:type="dxa"/>
            <w:vAlign w:val="center"/>
          </w:tcPr>
          <w:p w:rsidR="002331AB" w:rsidRPr="0049270C" w:rsidRDefault="002331AB" w:rsidP="007551B2">
            <w:pPr>
              <w:spacing w:after="0" w:line="240" w:lineRule="auto"/>
              <w:jc w:val="center"/>
              <w:rPr>
                <w:color w:val="000000"/>
                <w:szCs w:val="24"/>
              </w:rPr>
            </w:pPr>
            <w:r w:rsidRPr="0049270C">
              <w:rPr>
                <w:color w:val="000000"/>
                <w:szCs w:val="24"/>
              </w:rPr>
              <w:t>5</w:t>
            </w:r>
          </w:p>
        </w:tc>
        <w:tc>
          <w:tcPr>
            <w:tcW w:w="851" w:type="dxa"/>
            <w:vAlign w:val="center"/>
          </w:tcPr>
          <w:p w:rsidR="002331AB" w:rsidRPr="0049270C" w:rsidRDefault="002331AB" w:rsidP="007551B2">
            <w:pPr>
              <w:spacing w:after="0" w:line="240" w:lineRule="auto"/>
              <w:jc w:val="center"/>
              <w:rPr>
                <w:color w:val="000000"/>
                <w:szCs w:val="24"/>
              </w:rPr>
            </w:pPr>
            <w:r w:rsidRPr="0049270C">
              <w:rPr>
                <w:color w:val="000000"/>
                <w:szCs w:val="24"/>
              </w:rPr>
              <w:t>1</w:t>
            </w:r>
          </w:p>
        </w:tc>
        <w:tc>
          <w:tcPr>
            <w:tcW w:w="1134" w:type="dxa"/>
            <w:vAlign w:val="center"/>
          </w:tcPr>
          <w:p w:rsidR="002331AB" w:rsidRPr="0049270C" w:rsidRDefault="002331AB" w:rsidP="007551B2">
            <w:pPr>
              <w:spacing w:after="0" w:line="240" w:lineRule="auto"/>
              <w:jc w:val="center"/>
              <w:rPr>
                <w:color w:val="000000"/>
                <w:szCs w:val="24"/>
              </w:rPr>
            </w:pPr>
            <w:r w:rsidRPr="0049270C">
              <w:rPr>
                <w:color w:val="000000"/>
                <w:szCs w:val="24"/>
              </w:rPr>
              <w:t>1</w:t>
            </w:r>
          </w:p>
        </w:tc>
        <w:tc>
          <w:tcPr>
            <w:tcW w:w="992" w:type="dxa"/>
            <w:vAlign w:val="center"/>
          </w:tcPr>
          <w:p w:rsidR="002331AB" w:rsidRPr="0049270C" w:rsidRDefault="002331AB" w:rsidP="007551B2">
            <w:pPr>
              <w:spacing w:after="0" w:line="240" w:lineRule="auto"/>
              <w:jc w:val="center"/>
              <w:rPr>
                <w:color w:val="000000"/>
                <w:szCs w:val="24"/>
              </w:rPr>
            </w:pPr>
            <w:r w:rsidRPr="0049270C">
              <w:rPr>
                <w:color w:val="000000"/>
                <w:szCs w:val="24"/>
              </w:rPr>
              <w:t>3</w:t>
            </w:r>
          </w:p>
        </w:tc>
      </w:tr>
      <w:tr w:rsidR="00736C6E" w:rsidRPr="0049270C" w:rsidTr="00736C6E">
        <w:trPr>
          <w:jc w:val="center"/>
        </w:trPr>
        <w:tc>
          <w:tcPr>
            <w:tcW w:w="2977" w:type="dxa"/>
            <w:vAlign w:val="center"/>
          </w:tcPr>
          <w:p w:rsidR="002331AB" w:rsidRPr="0049270C" w:rsidRDefault="002331AB" w:rsidP="007551B2">
            <w:pPr>
              <w:spacing w:after="0" w:line="240" w:lineRule="auto"/>
              <w:rPr>
                <w:color w:val="000000"/>
                <w:szCs w:val="24"/>
              </w:rPr>
            </w:pPr>
            <w:r w:rsidRPr="0049270C">
              <w:rPr>
                <w:color w:val="000000"/>
                <w:szCs w:val="24"/>
              </w:rPr>
              <w:t>Intersexual</w:t>
            </w:r>
          </w:p>
        </w:tc>
        <w:tc>
          <w:tcPr>
            <w:tcW w:w="1559" w:type="dxa"/>
            <w:vAlign w:val="center"/>
          </w:tcPr>
          <w:p w:rsidR="002331AB" w:rsidRPr="0049270C" w:rsidRDefault="002331AB" w:rsidP="007551B2">
            <w:pPr>
              <w:spacing w:after="0" w:line="240" w:lineRule="auto"/>
              <w:jc w:val="center"/>
              <w:rPr>
                <w:color w:val="000000"/>
                <w:szCs w:val="24"/>
              </w:rPr>
            </w:pPr>
            <w:r w:rsidRPr="0049270C">
              <w:rPr>
                <w:color w:val="000000"/>
                <w:szCs w:val="24"/>
              </w:rPr>
              <w:t>0</w:t>
            </w:r>
          </w:p>
        </w:tc>
        <w:tc>
          <w:tcPr>
            <w:tcW w:w="851" w:type="dxa"/>
            <w:vAlign w:val="center"/>
          </w:tcPr>
          <w:p w:rsidR="002331AB" w:rsidRPr="0049270C" w:rsidRDefault="002331AB" w:rsidP="007551B2">
            <w:pPr>
              <w:spacing w:after="0" w:line="240" w:lineRule="auto"/>
              <w:jc w:val="center"/>
              <w:rPr>
                <w:color w:val="000000"/>
                <w:szCs w:val="24"/>
              </w:rPr>
            </w:pPr>
            <w:r w:rsidRPr="0049270C">
              <w:rPr>
                <w:color w:val="000000"/>
                <w:szCs w:val="24"/>
              </w:rPr>
              <w:t>2</w:t>
            </w:r>
          </w:p>
        </w:tc>
        <w:tc>
          <w:tcPr>
            <w:tcW w:w="1134" w:type="dxa"/>
            <w:vAlign w:val="center"/>
          </w:tcPr>
          <w:p w:rsidR="002331AB" w:rsidRPr="0049270C" w:rsidRDefault="002331AB" w:rsidP="007551B2">
            <w:pPr>
              <w:spacing w:after="0" w:line="240" w:lineRule="auto"/>
              <w:jc w:val="center"/>
              <w:rPr>
                <w:color w:val="000000"/>
                <w:szCs w:val="24"/>
              </w:rPr>
            </w:pPr>
            <w:r w:rsidRPr="0049270C">
              <w:rPr>
                <w:color w:val="000000"/>
                <w:szCs w:val="24"/>
              </w:rPr>
              <w:t>2</w:t>
            </w:r>
          </w:p>
        </w:tc>
        <w:tc>
          <w:tcPr>
            <w:tcW w:w="992" w:type="dxa"/>
            <w:vAlign w:val="center"/>
          </w:tcPr>
          <w:p w:rsidR="002331AB" w:rsidRPr="0049270C" w:rsidRDefault="002331AB" w:rsidP="007551B2">
            <w:pPr>
              <w:spacing w:after="0" w:line="240" w:lineRule="auto"/>
              <w:jc w:val="center"/>
              <w:rPr>
                <w:color w:val="000000"/>
                <w:szCs w:val="24"/>
              </w:rPr>
            </w:pPr>
            <w:r w:rsidRPr="0049270C">
              <w:rPr>
                <w:color w:val="000000"/>
                <w:szCs w:val="24"/>
              </w:rPr>
              <w:t>1</w:t>
            </w:r>
          </w:p>
        </w:tc>
      </w:tr>
      <w:tr w:rsidR="00736C6E" w:rsidRPr="0049270C" w:rsidTr="00736C6E">
        <w:trPr>
          <w:jc w:val="center"/>
        </w:trPr>
        <w:tc>
          <w:tcPr>
            <w:tcW w:w="2977" w:type="dxa"/>
            <w:tcBorders>
              <w:bottom w:val="single" w:sz="4" w:space="0" w:color="auto"/>
            </w:tcBorders>
            <w:vAlign w:val="center"/>
          </w:tcPr>
          <w:p w:rsidR="002331AB" w:rsidRPr="0049270C" w:rsidRDefault="002331AB" w:rsidP="007551B2">
            <w:pPr>
              <w:spacing w:after="0" w:line="240" w:lineRule="auto"/>
              <w:rPr>
                <w:color w:val="000000"/>
                <w:szCs w:val="24"/>
              </w:rPr>
            </w:pPr>
            <w:r w:rsidRPr="0049270C">
              <w:rPr>
                <w:color w:val="000000"/>
                <w:szCs w:val="24"/>
              </w:rPr>
              <w:t>Masculinizada</w:t>
            </w:r>
          </w:p>
        </w:tc>
        <w:tc>
          <w:tcPr>
            <w:tcW w:w="1559" w:type="dxa"/>
            <w:tcBorders>
              <w:bottom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0</w:t>
            </w:r>
          </w:p>
        </w:tc>
        <w:tc>
          <w:tcPr>
            <w:tcW w:w="851" w:type="dxa"/>
            <w:tcBorders>
              <w:bottom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3</w:t>
            </w:r>
            <w:r w:rsidRPr="0049270C">
              <w:rPr>
                <w:color w:val="000000"/>
                <w:szCs w:val="24"/>
                <w:vertAlign w:val="superscript"/>
              </w:rPr>
              <w:t>a</w:t>
            </w:r>
          </w:p>
        </w:tc>
        <w:tc>
          <w:tcPr>
            <w:tcW w:w="1134" w:type="dxa"/>
            <w:tcBorders>
              <w:bottom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2</w:t>
            </w:r>
            <w:r w:rsidRPr="0049270C">
              <w:rPr>
                <w:color w:val="000000"/>
                <w:szCs w:val="24"/>
                <w:vertAlign w:val="superscript"/>
              </w:rPr>
              <w:t>a</w:t>
            </w:r>
          </w:p>
        </w:tc>
        <w:tc>
          <w:tcPr>
            <w:tcW w:w="992" w:type="dxa"/>
            <w:tcBorders>
              <w:bottom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1</w:t>
            </w:r>
            <w:r w:rsidRPr="0049270C">
              <w:rPr>
                <w:color w:val="000000"/>
                <w:szCs w:val="24"/>
                <w:vertAlign w:val="superscript"/>
              </w:rPr>
              <w:t>a</w:t>
            </w:r>
          </w:p>
        </w:tc>
      </w:tr>
      <w:tr w:rsidR="00736C6E" w:rsidRPr="0049270C" w:rsidTr="00736C6E">
        <w:trPr>
          <w:jc w:val="center"/>
        </w:trPr>
        <w:tc>
          <w:tcPr>
            <w:tcW w:w="2977" w:type="dxa"/>
            <w:tcBorders>
              <w:top w:val="single" w:sz="4" w:space="0" w:color="auto"/>
              <w:bottom w:val="single" w:sz="4" w:space="0" w:color="auto"/>
            </w:tcBorders>
            <w:vAlign w:val="center"/>
          </w:tcPr>
          <w:p w:rsidR="002331AB" w:rsidRPr="0049270C" w:rsidRDefault="002331AB" w:rsidP="007551B2">
            <w:pPr>
              <w:spacing w:after="0" w:line="240" w:lineRule="auto"/>
              <w:rPr>
                <w:color w:val="000000"/>
                <w:szCs w:val="24"/>
              </w:rPr>
            </w:pPr>
            <w:r w:rsidRPr="0049270C">
              <w:rPr>
                <w:color w:val="000000"/>
                <w:szCs w:val="24"/>
              </w:rPr>
              <w:t>Indiferenciada**</w:t>
            </w:r>
          </w:p>
        </w:tc>
        <w:tc>
          <w:tcPr>
            <w:tcW w:w="1559" w:type="dxa"/>
            <w:tcBorders>
              <w:top w:val="single" w:sz="4" w:space="0" w:color="auto"/>
              <w:bottom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5</w:t>
            </w:r>
          </w:p>
        </w:tc>
        <w:tc>
          <w:tcPr>
            <w:tcW w:w="851" w:type="dxa"/>
            <w:tcBorders>
              <w:top w:val="single" w:sz="4" w:space="0" w:color="auto"/>
              <w:bottom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3</w:t>
            </w:r>
          </w:p>
        </w:tc>
        <w:tc>
          <w:tcPr>
            <w:tcW w:w="1134" w:type="dxa"/>
            <w:tcBorders>
              <w:top w:val="single" w:sz="4" w:space="0" w:color="auto"/>
              <w:bottom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5</w:t>
            </w:r>
          </w:p>
        </w:tc>
        <w:tc>
          <w:tcPr>
            <w:tcW w:w="992" w:type="dxa"/>
            <w:tcBorders>
              <w:top w:val="single" w:sz="4" w:space="0" w:color="auto"/>
              <w:bottom w:val="single" w:sz="4" w:space="0" w:color="auto"/>
            </w:tcBorders>
            <w:vAlign w:val="center"/>
          </w:tcPr>
          <w:p w:rsidR="002331AB" w:rsidRPr="0049270C" w:rsidRDefault="002331AB" w:rsidP="007551B2">
            <w:pPr>
              <w:spacing w:after="0" w:line="240" w:lineRule="auto"/>
              <w:jc w:val="center"/>
              <w:rPr>
                <w:color w:val="000000"/>
                <w:szCs w:val="24"/>
              </w:rPr>
            </w:pPr>
            <w:r w:rsidRPr="0049270C">
              <w:rPr>
                <w:color w:val="000000"/>
                <w:szCs w:val="24"/>
              </w:rPr>
              <w:t>5</w:t>
            </w:r>
          </w:p>
        </w:tc>
      </w:tr>
    </w:tbl>
    <w:p w:rsidR="002331AB" w:rsidRPr="0049270C" w:rsidRDefault="002331AB" w:rsidP="00785113">
      <w:pPr>
        <w:spacing w:before="120" w:after="0" w:line="240" w:lineRule="auto"/>
        <w:ind w:left="284" w:right="567"/>
        <w:jc w:val="both"/>
        <w:rPr>
          <w:color w:val="000000"/>
          <w:sz w:val="22"/>
          <w:szCs w:val="24"/>
        </w:rPr>
      </w:pPr>
      <w:r w:rsidRPr="0049270C">
        <w:rPr>
          <w:color w:val="000000"/>
          <w:sz w:val="22"/>
          <w:szCs w:val="24"/>
        </w:rPr>
        <w:t>* Desvio significativo (</w:t>
      </w:r>
      <w:r w:rsidRPr="0049270C">
        <w:rPr>
          <w:i/>
          <w:color w:val="000000"/>
          <w:sz w:val="22"/>
          <w:szCs w:val="24"/>
        </w:rPr>
        <w:t>P</w:t>
      </w:r>
      <w:r w:rsidRPr="0049270C">
        <w:rPr>
          <w:color w:val="000000"/>
          <w:sz w:val="22"/>
          <w:szCs w:val="24"/>
        </w:rPr>
        <w:t xml:space="preserve"> &lt; 0,05) em favor dos machos (gônadas masculinas), considerando uma proporção esperada de 1:1 entre machos (gônadas masculinas) e fêmeas genotípicas (gônadas femininas </w:t>
      </w:r>
      <w:proofErr w:type="gramStart"/>
      <w:r w:rsidRPr="0049270C">
        <w:rPr>
          <w:color w:val="000000"/>
          <w:sz w:val="22"/>
          <w:szCs w:val="24"/>
        </w:rPr>
        <w:t>+</w:t>
      </w:r>
      <w:proofErr w:type="gramEnd"/>
      <w:r w:rsidRPr="0049270C">
        <w:rPr>
          <w:color w:val="000000"/>
          <w:sz w:val="22"/>
          <w:szCs w:val="24"/>
        </w:rPr>
        <w:t xml:space="preserve"> gônadas intersexuais + gônadas masculinizadas).</w:t>
      </w:r>
    </w:p>
    <w:p w:rsidR="002331AB" w:rsidRPr="0049270C" w:rsidRDefault="002331AB" w:rsidP="00785113">
      <w:pPr>
        <w:spacing w:after="0" w:line="240" w:lineRule="auto"/>
        <w:ind w:left="284" w:right="566"/>
        <w:jc w:val="both"/>
        <w:rPr>
          <w:color w:val="000000"/>
          <w:sz w:val="22"/>
          <w:szCs w:val="24"/>
        </w:rPr>
      </w:pPr>
      <w:r w:rsidRPr="0049270C">
        <w:rPr>
          <w:color w:val="000000"/>
          <w:sz w:val="22"/>
          <w:szCs w:val="24"/>
        </w:rPr>
        <w:t>Letras sobrescritas idênticas indicam que a proporção de gônadas femininas masculinizadas não diferiu significativamente (</w:t>
      </w:r>
      <w:r w:rsidRPr="0049270C">
        <w:rPr>
          <w:i/>
          <w:color w:val="000000"/>
          <w:sz w:val="22"/>
          <w:szCs w:val="24"/>
        </w:rPr>
        <w:t>P</w:t>
      </w:r>
      <w:r w:rsidRPr="0049270C">
        <w:rPr>
          <w:color w:val="000000"/>
          <w:sz w:val="22"/>
          <w:szCs w:val="24"/>
        </w:rPr>
        <w:t xml:space="preserve"> &gt; 0,05; Teste de Fisher) entre as doses. </w:t>
      </w:r>
    </w:p>
    <w:p w:rsidR="002331AB" w:rsidRPr="0049270C" w:rsidRDefault="002331AB" w:rsidP="00785113">
      <w:pPr>
        <w:spacing w:after="0" w:line="240" w:lineRule="auto"/>
        <w:ind w:left="284" w:right="566"/>
        <w:jc w:val="both"/>
        <w:rPr>
          <w:color w:val="000000"/>
          <w:sz w:val="22"/>
          <w:szCs w:val="24"/>
        </w:rPr>
      </w:pPr>
      <w:r w:rsidRPr="0049270C">
        <w:rPr>
          <w:color w:val="000000"/>
          <w:sz w:val="22"/>
          <w:szCs w:val="24"/>
        </w:rPr>
        <w:t>** Peixes com gônadas indiferenciadas foram excluídos de todas as análises estatísticas.</w:t>
      </w:r>
    </w:p>
    <w:p w:rsidR="002331AB" w:rsidRPr="0049270C" w:rsidRDefault="002331AB" w:rsidP="00D66241">
      <w:pPr>
        <w:spacing w:after="0" w:line="240" w:lineRule="auto"/>
        <w:ind w:firstLine="539"/>
        <w:jc w:val="both"/>
        <w:rPr>
          <w:color w:val="000000"/>
          <w:szCs w:val="24"/>
        </w:rPr>
      </w:pPr>
    </w:p>
    <w:p w:rsidR="002331AB" w:rsidRPr="0049270C" w:rsidRDefault="002331AB" w:rsidP="002331AB">
      <w:pPr>
        <w:spacing w:after="0" w:line="240" w:lineRule="auto"/>
        <w:ind w:firstLine="539"/>
        <w:jc w:val="both"/>
        <w:rPr>
          <w:color w:val="000000"/>
          <w:szCs w:val="24"/>
        </w:rPr>
      </w:pPr>
      <w:r w:rsidRPr="0049270C">
        <w:rPr>
          <w:color w:val="000000"/>
          <w:szCs w:val="24"/>
        </w:rPr>
        <w:t xml:space="preserve">Ainda que em populações selvagens de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a proporção sexual esteja balanceada (1:1) (</w:t>
      </w:r>
      <w:r w:rsidR="0099760C" w:rsidRPr="0049270C">
        <w:rPr>
          <w:color w:val="000000"/>
          <w:szCs w:val="24"/>
        </w:rPr>
        <w:t>BALDISSEROTO</w:t>
      </w:r>
      <w:r w:rsidRPr="0049270C">
        <w:rPr>
          <w:color w:val="000000"/>
          <w:szCs w:val="24"/>
        </w:rPr>
        <w:t xml:space="preserve"> et al., 2010), no presente estudo uma maior frequência de machos (72% das gônadas </w:t>
      </w:r>
      <w:proofErr w:type="spellStart"/>
      <w:r w:rsidRPr="0049270C">
        <w:rPr>
          <w:color w:val="000000"/>
          <w:szCs w:val="24"/>
        </w:rPr>
        <w:t>sexadas</w:t>
      </w:r>
      <w:proofErr w:type="spellEnd"/>
      <w:r w:rsidRPr="0049270C">
        <w:rPr>
          <w:color w:val="000000"/>
          <w:szCs w:val="24"/>
        </w:rPr>
        <w:t xml:space="preserve">) foi encontrada na descendência proveniente de reprodutores selvagens, condição também registrada por </w:t>
      </w:r>
      <w:proofErr w:type="spellStart"/>
      <w:r w:rsidRPr="0049270C">
        <w:rPr>
          <w:color w:val="000000"/>
          <w:szCs w:val="24"/>
        </w:rPr>
        <w:t>Sulis</w:t>
      </w:r>
      <w:proofErr w:type="spellEnd"/>
      <w:r w:rsidRPr="0049270C">
        <w:rPr>
          <w:color w:val="000000"/>
          <w:szCs w:val="24"/>
        </w:rPr>
        <w:t xml:space="preserve">-Costa et al. (2013) com a mesma linhagem de reprodutores. Como a descendência utilizada para o ensaio masculinizante apresentou fêmeas em menor frequência, um menor número de animais foi alvo efetivo do processo de inversão sexual. Apesar disso, a </w:t>
      </w:r>
      <w:proofErr w:type="spellStart"/>
      <w:r w:rsidRPr="0049270C">
        <w:rPr>
          <w:color w:val="000000"/>
          <w:szCs w:val="24"/>
        </w:rPr>
        <w:t>masculinização</w:t>
      </w:r>
      <w:proofErr w:type="spellEnd"/>
      <w:r w:rsidRPr="0049270C">
        <w:rPr>
          <w:color w:val="000000"/>
          <w:szCs w:val="24"/>
        </w:rPr>
        <w:t xml:space="preserve"> ocorreu em todas as doses de MT testadas.</w:t>
      </w:r>
    </w:p>
    <w:p w:rsidR="002331AB" w:rsidRPr="0049270C" w:rsidRDefault="002331AB" w:rsidP="002331AB">
      <w:pPr>
        <w:spacing w:after="0" w:line="240" w:lineRule="auto"/>
        <w:ind w:firstLine="539"/>
        <w:jc w:val="both"/>
        <w:rPr>
          <w:color w:val="000000"/>
          <w:szCs w:val="24"/>
        </w:rPr>
      </w:pPr>
      <w:r w:rsidRPr="0049270C">
        <w:rPr>
          <w:color w:val="000000"/>
          <w:szCs w:val="24"/>
        </w:rPr>
        <w:t xml:space="preserve">Nas gônadas indiferenciadas de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que representaram 15% do total de gônadas analisadas, a presença das células germinativas primordiais caracterizou o epitélio germinativo que dará origem as lamelas ovarianas ou aos túbulos seminíferos, delimitando o lúmen ovariano e testicular, respectivamente (</w:t>
      </w:r>
      <w:r w:rsidR="0099760C" w:rsidRPr="0049270C">
        <w:rPr>
          <w:color w:val="000000"/>
          <w:szCs w:val="24"/>
        </w:rPr>
        <w:t>MAZZONI</w:t>
      </w:r>
      <w:r w:rsidRPr="0049270C">
        <w:rPr>
          <w:color w:val="000000"/>
          <w:szCs w:val="24"/>
        </w:rPr>
        <w:t>, 2010). A prese</w:t>
      </w:r>
      <w:bookmarkStart w:id="0" w:name="_GoBack"/>
      <w:bookmarkEnd w:id="0"/>
      <w:r w:rsidRPr="0049270C">
        <w:rPr>
          <w:color w:val="000000"/>
          <w:szCs w:val="24"/>
        </w:rPr>
        <w:t xml:space="preserve">nça de peixes com gônadas indiferenciadas </w:t>
      </w:r>
      <w:r w:rsidRPr="0049270C">
        <w:rPr>
          <w:color w:val="000000"/>
          <w:szCs w:val="24"/>
        </w:rPr>
        <w:lastRenderedPageBreak/>
        <w:t>aos 150 DPE sugere que seria necessário um período ainda maior para que todos os peixes apresentassem o sexo fenotípico definido nas condições ambientais apresentadas. Entretanto, o fato desta condição também ocorrer no tratamento controle, no qual os peixes não foram expostos a MT, demonstra que não há relação com as doses de MT testadas.</w:t>
      </w:r>
    </w:p>
    <w:p w:rsidR="002331AB" w:rsidRPr="0049270C" w:rsidRDefault="0099760C" w:rsidP="002331AB">
      <w:pPr>
        <w:spacing w:after="0" w:line="240" w:lineRule="auto"/>
        <w:ind w:firstLine="539"/>
        <w:jc w:val="both"/>
        <w:rPr>
          <w:color w:val="000000"/>
          <w:szCs w:val="24"/>
        </w:rPr>
      </w:pPr>
      <w:r w:rsidRPr="0049270C">
        <w:rPr>
          <w:color w:val="000000"/>
          <w:szCs w:val="24"/>
        </w:rPr>
        <w:t>D</w:t>
      </w:r>
      <w:r w:rsidR="001425CD" w:rsidRPr="0049270C">
        <w:rPr>
          <w:color w:val="000000"/>
          <w:szCs w:val="24"/>
        </w:rPr>
        <w:t>avis</w:t>
      </w:r>
      <w:r w:rsidR="002331AB" w:rsidRPr="0049270C">
        <w:rPr>
          <w:color w:val="000000"/>
          <w:szCs w:val="24"/>
        </w:rPr>
        <w:t xml:space="preserve"> et al. (1990) mostraram que a duração eficiente para a inversão sexual foi de 21 dias após o início da alimentação exógena em </w:t>
      </w:r>
      <w:proofErr w:type="spellStart"/>
      <w:r w:rsidR="002331AB" w:rsidRPr="0049270C">
        <w:rPr>
          <w:i/>
          <w:color w:val="000000"/>
          <w:szCs w:val="24"/>
        </w:rPr>
        <w:t>Ictalurus</w:t>
      </w:r>
      <w:proofErr w:type="spellEnd"/>
      <w:r w:rsidR="002331AB" w:rsidRPr="0049270C">
        <w:rPr>
          <w:i/>
          <w:color w:val="000000"/>
          <w:szCs w:val="24"/>
        </w:rPr>
        <w:t xml:space="preserve"> </w:t>
      </w:r>
      <w:proofErr w:type="spellStart"/>
      <w:r w:rsidR="002331AB" w:rsidRPr="0049270C">
        <w:rPr>
          <w:i/>
          <w:color w:val="000000"/>
          <w:szCs w:val="24"/>
        </w:rPr>
        <w:t>punctatus</w:t>
      </w:r>
      <w:proofErr w:type="spellEnd"/>
      <w:r w:rsidR="002331AB" w:rsidRPr="0049270C">
        <w:rPr>
          <w:color w:val="000000"/>
          <w:szCs w:val="24"/>
        </w:rPr>
        <w:t xml:space="preserve">, uma outra espécie </w:t>
      </w:r>
      <w:proofErr w:type="gramStart"/>
      <w:r w:rsidR="002331AB" w:rsidRPr="0049270C">
        <w:rPr>
          <w:color w:val="000000"/>
          <w:szCs w:val="24"/>
        </w:rPr>
        <w:t>de Siluriformes</w:t>
      </w:r>
      <w:proofErr w:type="gramEnd"/>
      <w:r w:rsidR="002331AB" w:rsidRPr="0049270C">
        <w:rPr>
          <w:color w:val="000000"/>
          <w:szCs w:val="24"/>
        </w:rPr>
        <w:t xml:space="preserve">. Para </w:t>
      </w:r>
      <w:proofErr w:type="spellStart"/>
      <w:r w:rsidR="002331AB" w:rsidRPr="0049270C">
        <w:rPr>
          <w:i/>
          <w:color w:val="000000"/>
          <w:szCs w:val="24"/>
        </w:rPr>
        <w:t>Tachysurus</w:t>
      </w:r>
      <w:proofErr w:type="spellEnd"/>
      <w:r w:rsidR="002331AB" w:rsidRPr="0049270C">
        <w:rPr>
          <w:i/>
          <w:color w:val="000000"/>
          <w:szCs w:val="24"/>
        </w:rPr>
        <w:t xml:space="preserve"> </w:t>
      </w:r>
      <w:proofErr w:type="spellStart"/>
      <w:r w:rsidR="002331AB" w:rsidRPr="0049270C">
        <w:rPr>
          <w:i/>
          <w:color w:val="000000"/>
          <w:szCs w:val="24"/>
        </w:rPr>
        <w:t>fulvidraco</w:t>
      </w:r>
      <w:proofErr w:type="spellEnd"/>
      <w:r w:rsidR="002331AB" w:rsidRPr="0049270C">
        <w:rPr>
          <w:color w:val="000000"/>
          <w:szCs w:val="24"/>
        </w:rPr>
        <w:t>, o período de diferenciação sexual, conhecido como período lábil, no qual as gônadas indiferenciadas apresentam capacidade de resposta à ação de esteroides (</w:t>
      </w:r>
      <w:r w:rsidRPr="0049270C">
        <w:rPr>
          <w:color w:val="000000"/>
          <w:szCs w:val="24"/>
        </w:rPr>
        <w:t>PIFERRER</w:t>
      </w:r>
      <w:r w:rsidR="002331AB" w:rsidRPr="0049270C">
        <w:rPr>
          <w:color w:val="000000"/>
          <w:szCs w:val="24"/>
        </w:rPr>
        <w:t>, 2001), ocorre entre o 8 e 30° DPE, apresentando maior duração nas fêmeas (</w:t>
      </w:r>
      <w:r w:rsidR="006E13AD" w:rsidRPr="0049270C">
        <w:rPr>
          <w:color w:val="000000"/>
          <w:szCs w:val="24"/>
        </w:rPr>
        <w:t>PARK</w:t>
      </w:r>
      <w:r w:rsidR="002331AB" w:rsidRPr="0049270C">
        <w:rPr>
          <w:color w:val="000000"/>
          <w:szCs w:val="24"/>
        </w:rPr>
        <w:t xml:space="preserve"> et al., 2004). Em </w:t>
      </w:r>
      <w:proofErr w:type="spellStart"/>
      <w:r w:rsidR="002331AB" w:rsidRPr="0049270C">
        <w:rPr>
          <w:i/>
          <w:color w:val="000000"/>
          <w:szCs w:val="24"/>
        </w:rPr>
        <w:t>Salvelinus</w:t>
      </w:r>
      <w:proofErr w:type="spellEnd"/>
      <w:r w:rsidR="002331AB" w:rsidRPr="0049270C">
        <w:rPr>
          <w:i/>
          <w:color w:val="000000"/>
          <w:szCs w:val="24"/>
        </w:rPr>
        <w:t xml:space="preserve"> </w:t>
      </w:r>
      <w:proofErr w:type="spellStart"/>
      <w:r w:rsidR="002331AB" w:rsidRPr="0049270C">
        <w:rPr>
          <w:i/>
          <w:color w:val="000000"/>
          <w:szCs w:val="24"/>
        </w:rPr>
        <w:t>fontinalis</w:t>
      </w:r>
      <w:proofErr w:type="spellEnd"/>
      <w:r w:rsidR="002331AB" w:rsidRPr="0049270C">
        <w:rPr>
          <w:color w:val="000000"/>
          <w:szCs w:val="24"/>
        </w:rPr>
        <w:t xml:space="preserve"> o período lábil ocorre antes e é mais longo quando comparado com a maioria dos salmonídeos, que normalmente apresentam este período do 18 ao 28º DPE (</w:t>
      </w:r>
      <w:r w:rsidR="006E13AD" w:rsidRPr="0049270C">
        <w:rPr>
          <w:color w:val="000000"/>
          <w:szCs w:val="24"/>
        </w:rPr>
        <w:t>HAFFRAY</w:t>
      </w:r>
      <w:r w:rsidR="002331AB" w:rsidRPr="0049270C">
        <w:rPr>
          <w:color w:val="000000"/>
          <w:szCs w:val="24"/>
        </w:rPr>
        <w:t xml:space="preserve"> et al., 2009). </w:t>
      </w:r>
    </w:p>
    <w:p w:rsidR="002331AB" w:rsidRPr="0049270C" w:rsidRDefault="002331AB" w:rsidP="002331AB">
      <w:pPr>
        <w:spacing w:after="0" w:line="240" w:lineRule="auto"/>
        <w:ind w:firstLine="539"/>
        <w:jc w:val="both"/>
        <w:rPr>
          <w:color w:val="000000"/>
          <w:szCs w:val="24"/>
        </w:rPr>
      </w:pPr>
      <w:r w:rsidRPr="0049270C">
        <w:rPr>
          <w:color w:val="000000"/>
          <w:szCs w:val="24"/>
        </w:rPr>
        <w:t xml:space="preserve">Como o período lábil para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não está identificado, uma menor frequência de peixes invertidos poderia ser esperada, entre outros fatores, se a administração da dieta suplementada com MT não abrangesse todo este período. Neste ensaio masculinizante, entretanto, foi utilizado o mesmo tempo de tratamento aplicado por Amaral Júnior et al. (2008) na </w:t>
      </w:r>
      <w:proofErr w:type="spellStart"/>
      <w:r w:rsidRPr="0049270C">
        <w:rPr>
          <w:color w:val="000000"/>
          <w:szCs w:val="24"/>
        </w:rPr>
        <w:t>feminilização</w:t>
      </w:r>
      <w:proofErr w:type="spellEnd"/>
      <w:r w:rsidRPr="0049270C">
        <w:rPr>
          <w:color w:val="000000"/>
          <w:szCs w:val="24"/>
        </w:rPr>
        <w:t xml:space="preserve"> direta de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por suplementação dietética com 17β-estradiol (21 dias a partir da primeira alimentação exógena), no qual foram produzidas 79% de fêmeas na melhor dose testada (100 mg/kg de ração). </w:t>
      </w:r>
    </w:p>
    <w:p w:rsidR="002331AB" w:rsidRPr="0049270C" w:rsidRDefault="002331AB" w:rsidP="002331AB">
      <w:pPr>
        <w:spacing w:after="0" w:line="240" w:lineRule="auto"/>
        <w:ind w:firstLine="539"/>
        <w:jc w:val="both"/>
        <w:rPr>
          <w:color w:val="000000"/>
          <w:szCs w:val="24"/>
        </w:rPr>
      </w:pPr>
      <w:r w:rsidRPr="0049270C">
        <w:rPr>
          <w:color w:val="000000"/>
          <w:szCs w:val="24"/>
        </w:rPr>
        <w:t xml:space="preserve">A presença de peixes com gônadas intersexuais em todas as doses masculinizantes pode ser um indicativo de que o período lábil do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não foi completamente abrangido pela administração do hormônio. Por outro lado, as gônadas poderiam estar no meio do processo de inversão, ou seja, seria necessário um período maior do que 150 DPE para que a inversão sexual fosse completada nas condições experimentais utilizadas. Além disso, as gônadas intersexuais podem decorrer de doses abaixo do ideal ou de doses muito elevadas de hormônio, sendo que no último caso normalmente também se observa a presença de indivíduos estéreis (</w:t>
      </w:r>
      <w:r w:rsidR="006E13AD" w:rsidRPr="0049270C">
        <w:rPr>
          <w:color w:val="000000"/>
          <w:szCs w:val="24"/>
        </w:rPr>
        <w:t>PANDIAN</w:t>
      </w:r>
      <w:r w:rsidRPr="0049270C">
        <w:rPr>
          <w:color w:val="000000"/>
          <w:szCs w:val="24"/>
        </w:rPr>
        <w:t xml:space="preserve"> e </w:t>
      </w:r>
      <w:r w:rsidR="006E13AD" w:rsidRPr="0049270C">
        <w:rPr>
          <w:color w:val="000000"/>
          <w:szCs w:val="24"/>
        </w:rPr>
        <w:t>SHEELA</w:t>
      </w:r>
      <w:r w:rsidRPr="0049270C">
        <w:rPr>
          <w:color w:val="000000"/>
          <w:szCs w:val="24"/>
        </w:rPr>
        <w:t xml:space="preserve">, 1995). Apesar de a intersexualidade </w:t>
      </w:r>
      <w:proofErr w:type="spellStart"/>
      <w:r w:rsidRPr="0049270C">
        <w:rPr>
          <w:color w:val="000000"/>
          <w:szCs w:val="24"/>
        </w:rPr>
        <w:t>gonadal</w:t>
      </w:r>
      <w:proofErr w:type="spellEnd"/>
      <w:r w:rsidRPr="0049270C">
        <w:rPr>
          <w:color w:val="000000"/>
          <w:szCs w:val="24"/>
        </w:rPr>
        <w:t xml:space="preserve"> ser observada também em machos expostos a MT (</w:t>
      </w:r>
      <w:r w:rsidR="006E13AD" w:rsidRPr="0049270C">
        <w:rPr>
          <w:color w:val="000000"/>
          <w:szCs w:val="24"/>
        </w:rPr>
        <w:t>KANG</w:t>
      </w:r>
      <w:r w:rsidRPr="0049270C">
        <w:rPr>
          <w:color w:val="000000"/>
          <w:szCs w:val="24"/>
        </w:rPr>
        <w:t xml:space="preserve"> et al., 2008), as análises histológicas das gônadas de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mostraram que o tecido </w:t>
      </w:r>
      <w:proofErr w:type="spellStart"/>
      <w:r w:rsidRPr="0049270C">
        <w:rPr>
          <w:color w:val="000000"/>
          <w:szCs w:val="24"/>
        </w:rPr>
        <w:t>gonadal</w:t>
      </w:r>
      <w:proofErr w:type="spellEnd"/>
      <w:r w:rsidRPr="0049270C">
        <w:rPr>
          <w:color w:val="000000"/>
          <w:szCs w:val="24"/>
        </w:rPr>
        <w:t xml:space="preserve"> intersexual foi proveniente de gônadas femininas, devido à presença de lamelas ovarianas, semelhante ao que foi reportado para </w:t>
      </w:r>
      <w:r w:rsidRPr="0049270C">
        <w:rPr>
          <w:i/>
          <w:color w:val="000000"/>
          <w:szCs w:val="24"/>
        </w:rPr>
        <w:t xml:space="preserve">Morone </w:t>
      </w:r>
      <w:proofErr w:type="spellStart"/>
      <w:r w:rsidRPr="0049270C">
        <w:rPr>
          <w:i/>
          <w:color w:val="000000"/>
          <w:szCs w:val="24"/>
        </w:rPr>
        <w:t>saxatilis</w:t>
      </w:r>
      <w:proofErr w:type="spellEnd"/>
      <w:r w:rsidRPr="0049270C">
        <w:rPr>
          <w:color w:val="000000"/>
          <w:szCs w:val="24"/>
        </w:rPr>
        <w:t xml:space="preserve"> (</w:t>
      </w:r>
      <w:r w:rsidR="006E13AD" w:rsidRPr="0049270C">
        <w:rPr>
          <w:color w:val="000000"/>
          <w:szCs w:val="24"/>
        </w:rPr>
        <w:t>SCHUTZ</w:t>
      </w:r>
      <w:r w:rsidRPr="0049270C">
        <w:rPr>
          <w:color w:val="000000"/>
          <w:szCs w:val="24"/>
        </w:rPr>
        <w:t xml:space="preserve"> e </w:t>
      </w:r>
      <w:r w:rsidR="006E13AD" w:rsidRPr="0049270C">
        <w:rPr>
          <w:color w:val="000000"/>
          <w:szCs w:val="24"/>
        </w:rPr>
        <w:t>HARRELL</w:t>
      </w:r>
      <w:r w:rsidRPr="0049270C">
        <w:rPr>
          <w:color w:val="000000"/>
          <w:szCs w:val="24"/>
        </w:rPr>
        <w:t>, 1999).</w:t>
      </w:r>
    </w:p>
    <w:p w:rsidR="002331AB" w:rsidRPr="0049270C" w:rsidRDefault="002331AB" w:rsidP="002331AB">
      <w:pPr>
        <w:spacing w:after="0" w:line="240" w:lineRule="auto"/>
        <w:ind w:firstLine="539"/>
        <w:jc w:val="both"/>
        <w:rPr>
          <w:color w:val="000000"/>
          <w:szCs w:val="24"/>
        </w:rPr>
      </w:pPr>
      <w:r w:rsidRPr="0049270C">
        <w:rPr>
          <w:color w:val="000000"/>
          <w:szCs w:val="24"/>
        </w:rPr>
        <w:t xml:space="preserve">A administração de MT por via oral foi capaz de induzir a </w:t>
      </w:r>
      <w:proofErr w:type="spellStart"/>
      <w:r w:rsidRPr="0049270C">
        <w:rPr>
          <w:color w:val="000000"/>
          <w:szCs w:val="24"/>
        </w:rPr>
        <w:t>masculinização</w:t>
      </w:r>
      <w:proofErr w:type="spellEnd"/>
      <w:r w:rsidRPr="0049270C">
        <w:rPr>
          <w:color w:val="000000"/>
          <w:szCs w:val="24"/>
        </w:rPr>
        <w:t xml:space="preserve"> em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sendo que os peixes invertidos apresentaram tamanho e condição similar ao dos outros peixes no momento da retirada das gônadas. Através da histologia foi possível observar que as gônadas masculinizadas apresentaram lamelas ovarianas preenchidas com </w:t>
      </w:r>
      <w:proofErr w:type="spellStart"/>
      <w:r w:rsidRPr="0049270C">
        <w:rPr>
          <w:color w:val="000000"/>
          <w:szCs w:val="24"/>
        </w:rPr>
        <w:t>espermatogônias</w:t>
      </w:r>
      <w:proofErr w:type="spellEnd"/>
      <w:r w:rsidRPr="0049270C">
        <w:rPr>
          <w:color w:val="000000"/>
          <w:szCs w:val="24"/>
        </w:rPr>
        <w:t xml:space="preserve"> e </w:t>
      </w:r>
      <w:proofErr w:type="spellStart"/>
      <w:r w:rsidRPr="0049270C">
        <w:rPr>
          <w:color w:val="000000"/>
          <w:szCs w:val="24"/>
        </w:rPr>
        <w:t>espermatócitos</w:t>
      </w:r>
      <w:proofErr w:type="spellEnd"/>
      <w:r w:rsidRPr="0049270C">
        <w:rPr>
          <w:color w:val="000000"/>
          <w:szCs w:val="24"/>
        </w:rPr>
        <w:t xml:space="preserve">, ou seja, apresentaram exclusivamente células da linhagem germinativa masculina. A eficácia das doses testadas, entretanto, foi menor do que a encontrada para outras espécies de interesse comercial, como </w:t>
      </w:r>
      <w:proofErr w:type="spellStart"/>
      <w:r w:rsidRPr="0049270C">
        <w:rPr>
          <w:i/>
          <w:color w:val="000000"/>
          <w:szCs w:val="24"/>
        </w:rPr>
        <w:t>Oreochromis</w:t>
      </w:r>
      <w:proofErr w:type="spellEnd"/>
      <w:r w:rsidRPr="0049270C">
        <w:rPr>
          <w:i/>
          <w:color w:val="000000"/>
          <w:szCs w:val="24"/>
        </w:rPr>
        <w:t xml:space="preserve"> </w:t>
      </w:r>
      <w:proofErr w:type="spellStart"/>
      <w:r w:rsidRPr="0049270C">
        <w:rPr>
          <w:i/>
          <w:color w:val="000000"/>
          <w:szCs w:val="24"/>
        </w:rPr>
        <w:t>niloticus</w:t>
      </w:r>
      <w:proofErr w:type="spellEnd"/>
      <w:r w:rsidRPr="0049270C">
        <w:rPr>
          <w:color w:val="000000"/>
          <w:szCs w:val="24"/>
        </w:rPr>
        <w:t xml:space="preserve"> (</w:t>
      </w:r>
      <w:r w:rsidR="00CE0E02" w:rsidRPr="0049270C">
        <w:rPr>
          <w:color w:val="000000"/>
          <w:szCs w:val="24"/>
        </w:rPr>
        <w:t>SHELTON</w:t>
      </w:r>
      <w:r w:rsidRPr="0049270C">
        <w:rPr>
          <w:color w:val="000000"/>
          <w:szCs w:val="24"/>
        </w:rPr>
        <w:t xml:space="preserve"> et al., 1981). </w:t>
      </w:r>
    </w:p>
    <w:p w:rsidR="00D66241" w:rsidRPr="0049270C" w:rsidRDefault="00D66241" w:rsidP="001C44B6">
      <w:pPr>
        <w:spacing w:line="240" w:lineRule="auto"/>
        <w:ind w:firstLine="539"/>
        <w:jc w:val="both"/>
        <w:rPr>
          <w:color w:val="000000"/>
          <w:szCs w:val="24"/>
        </w:rPr>
      </w:pPr>
    </w:p>
    <w:p w:rsidR="00376441" w:rsidRPr="0049270C" w:rsidRDefault="0084602C" w:rsidP="00D66241">
      <w:pPr>
        <w:spacing w:after="0" w:line="240" w:lineRule="auto"/>
        <w:jc w:val="both"/>
        <w:rPr>
          <w:b/>
          <w:szCs w:val="24"/>
        </w:rPr>
      </w:pPr>
      <w:r w:rsidRPr="0049270C">
        <w:rPr>
          <w:b/>
          <w:szCs w:val="24"/>
        </w:rPr>
        <w:t>4- CONCLUSÃO</w:t>
      </w:r>
    </w:p>
    <w:p w:rsidR="00C86FAA" w:rsidRPr="0049270C" w:rsidRDefault="00C86FAA" w:rsidP="001C44B6">
      <w:pPr>
        <w:spacing w:after="0" w:line="240" w:lineRule="auto"/>
        <w:jc w:val="both"/>
        <w:rPr>
          <w:color w:val="000000"/>
          <w:szCs w:val="24"/>
        </w:rPr>
      </w:pPr>
    </w:p>
    <w:p w:rsidR="00C86FAA" w:rsidRPr="00C86FAA" w:rsidRDefault="001C44B6" w:rsidP="00D66241">
      <w:pPr>
        <w:spacing w:after="0" w:line="240" w:lineRule="auto"/>
        <w:ind w:firstLine="567"/>
        <w:jc w:val="both"/>
        <w:rPr>
          <w:szCs w:val="24"/>
        </w:rPr>
      </w:pPr>
      <w:r w:rsidRPr="0049270C">
        <w:rPr>
          <w:color w:val="000000"/>
          <w:szCs w:val="24"/>
        </w:rPr>
        <w:t xml:space="preserve">Considerando-se a eficácia das diferentes doses utilizadas e a preocupação com o meio ambiente relacionado a aplicação de hormônio, recomenda-se 60 mg </w:t>
      </w:r>
      <w:r w:rsidR="001425CD">
        <w:rPr>
          <w:color w:val="000000"/>
          <w:szCs w:val="24"/>
        </w:rPr>
        <w:t xml:space="preserve">de </w:t>
      </w:r>
      <w:r w:rsidRPr="0049270C">
        <w:rPr>
          <w:color w:val="000000"/>
          <w:szCs w:val="24"/>
        </w:rPr>
        <w:t xml:space="preserve">MT/kg de ração como a dose mais indicada para a </w:t>
      </w:r>
      <w:proofErr w:type="spellStart"/>
      <w:r w:rsidRPr="0049270C">
        <w:rPr>
          <w:color w:val="000000"/>
          <w:szCs w:val="24"/>
        </w:rPr>
        <w:t>masculinização</w:t>
      </w:r>
      <w:proofErr w:type="spellEnd"/>
      <w:r w:rsidRPr="0049270C">
        <w:rPr>
          <w:color w:val="000000"/>
          <w:szCs w:val="24"/>
        </w:rPr>
        <w:t xml:space="preserve"> de fêmeas de </w:t>
      </w:r>
      <w:r w:rsidRPr="0049270C">
        <w:rPr>
          <w:i/>
          <w:color w:val="000000"/>
          <w:szCs w:val="24"/>
        </w:rPr>
        <w:t xml:space="preserve">R. </w:t>
      </w:r>
      <w:proofErr w:type="spellStart"/>
      <w:r w:rsidRPr="0049270C">
        <w:rPr>
          <w:i/>
          <w:color w:val="000000"/>
          <w:szCs w:val="24"/>
        </w:rPr>
        <w:t>quelen</w:t>
      </w:r>
      <w:proofErr w:type="spellEnd"/>
      <w:r w:rsidRPr="0049270C">
        <w:rPr>
          <w:color w:val="000000"/>
          <w:szCs w:val="24"/>
        </w:rPr>
        <w:t xml:space="preserve"> nas condições experimentais utilizadas. </w:t>
      </w:r>
    </w:p>
    <w:p w:rsidR="00376441" w:rsidRPr="00C86FAA" w:rsidRDefault="00376441" w:rsidP="001C44B6">
      <w:pPr>
        <w:pStyle w:val="Ttulo1"/>
        <w:spacing w:before="0" w:after="200"/>
        <w:jc w:val="both"/>
        <w:rPr>
          <w:rFonts w:ascii="Times New Roman" w:hAnsi="Times New Roman" w:cs="Times New Roman"/>
          <w:caps/>
          <w:sz w:val="24"/>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5- AGRADECIMENTOS</w:t>
      </w:r>
    </w:p>
    <w:p w:rsidR="00376441" w:rsidRPr="00C86FAA" w:rsidRDefault="00376441" w:rsidP="00D66241">
      <w:pPr>
        <w:pStyle w:val="Ttulo1"/>
        <w:spacing w:before="0" w:after="0"/>
        <w:jc w:val="both"/>
        <w:rPr>
          <w:rFonts w:ascii="Times New Roman" w:hAnsi="Times New Roman" w:cs="Times New Roman"/>
          <w:caps/>
          <w:sz w:val="24"/>
          <w:szCs w:val="24"/>
        </w:rPr>
      </w:pPr>
    </w:p>
    <w:p w:rsidR="00C86FAA" w:rsidRPr="00C86FAA" w:rsidRDefault="00390093" w:rsidP="00D73C82">
      <w:pPr>
        <w:spacing w:after="0" w:line="240" w:lineRule="auto"/>
        <w:ind w:firstLine="567"/>
        <w:jc w:val="both"/>
        <w:rPr>
          <w:color w:val="000000"/>
          <w:szCs w:val="24"/>
        </w:rPr>
      </w:pPr>
      <w:r w:rsidRPr="00390093">
        <w:rPr>
          <w:color w:val="000000"/>
          <w:szCs w:val="24"/>
        </w:rPr>
        <w:t>À Coordenação de Aperfeiçoamento de Pessoal de Nível Superior (CAPES), pelas bolsas de estudo do primeiro e do segundo autor e ao Conselho Nacional de Desenvolvimento Científico e Tecnológico (CNPq) pelo financiamento deste estudo (Projeto Universal 486868/2013-3).</w:t>
      </w:r>
    </w:p>
    <w:p w:rsidR="00C86FAA" w:rsidRPr="00C86FAA" w:rsidRDefault="00C86FAA" w:rsidP="001C44B6">
      <w:pPr>
        <w:spacing w:line="240" w:lineRule="auto"/>
        <w:ind w:firstLine="284"/>
        <w:jc w:val="both"/>
        <w:rPr>
          <w:szCs w:val="24"/>
          <w:lang w:eastAsia="pt-BR"/>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lastRenderedPageBreak/>
        <w:t>6- REFERÊNCIA BIBLIOGRÁFICA</w:t>
      </w:r>
    </w:p>
    <w:p w:rsidR="00376441" w:rsidRDefault="00376441" w:rsidP="00D66241">
      <w:pPr>
        <w:spacing w:after="0" w:line="240" w:lineRule="auto"/>
        <w:jc w:val="both"/>
        <w:rPr>
          <w:szCs w:val="24"/>
        </w:rPr>
      </w:pPr>
    </w:p>
    <w:p w:rsidR="00A132D6" w:rsidRPr="001E6232" w:rsidRDefault="00A132D6" w:rsidP="004412C8">
      <w:pPr>
        <w:spacing w:before="60" w:after="60" w:line="240" w:lineRule="auto"/>
        <w:jc w:val="both"/>
        <w:rPr>
          <w:szCs w:val="24"/>
        </w:rPr>
      </w:pPr>
      <w:r w:rsidRPr="001E6232">
        <w:rPr>
          <w:szCs w:val="24"/>
        </w:rPr>
        <w:t xml:space="preserve">AMARAL JUNIOR, H.; NUNES, M.F.S.; GARCIA, S. Análise de diferentes dosagens de hormônio na ração, para definição de um protocolo de </w:t>
      </w:r>
      <w:proofErr w:type="spellStart"/>
      <w:r w:rsidRPr="001E6232">
        <w:rPr>
          <w:szCs w:val="24"/>
        </w:rPr>
        <w:t>feminilização</w:t>
      </w:r>
      <w:proofErr w:type="spellEnd"/>
      <w:r w:rsidRPr="001E6232">
        <w:rPr>
          <w:szCs w:val="24"/>
        </w:rPr>
        <w:t xml:space="preserve"> do jundiá </w:t>
      </w:r>
      <w:proofErr w:type="spellStart"/>
      <w:r w:rsidRPr="001E6232">
        <w:rPr>
          <w:i/>
          <w:szCs w:val="24"/>
        </w:rPr>
        <w:t>Rhamdia</w:t>
      </w:r>
      <w:proofErr w:type="spellEnd"/>
      <w:r w:rsidRPr="001E6232">
        <w:rPr>
          <w:i/>
          <w:szCs w:val="24"/>
        </w:rPr>
        <w:t xml:space="preserve"> </w:t>
      </w:r>
      <w:proofErr w:type="spellStart"/>
      <w:r w:rsidRPr="001E6232">
        <w:rPr>
          <w:i/>
          <w:szCs w:val="24"/>
        </w:rPr>
        <w:t>quelen</w:t>
      </w:r>
      <w:proofErr w:type="spellEnd"/>
      <w:r w:rsidRPr="001E6232">
        <w:rPr>
          <w:szCs w:val="24"/>
        </w:rPr>
        <w:t xml:space="preserve">. </w:t>
      </w:r>
      <w:proofErr w:type="spellStart"/>
      <w:r w:rsidRPr="001E6232">
        <w:rPr>
          <w:b/>
          <w:szCs w:val="24"/>
        </w:rPr>
        <w:t>Rev</w:t>
      </w:r>
      <w:proofErr w:type="spellEnd"/>
      <w:r w:rsidRPr="001E6232">
        <w:rPr>
          <w:b/>
          <w:szCs w:val="24"/>
        </w:rPr>
        <w:t xml:space="preserve"> </w:t>
      </w:r>
      <w:proofErr w:type="spellStart"/>
      <w:r w:rsidRPr="001E6232">
        <w:rPr>
          <w:b/>
          <w:szCs w:val="24"/>
        </w:rPr>
        <w:t>Electrón</w:t>
      </w:r>
      <w:proofErr w:type="spellEnd"/>
      <w:r w:rsidRPr="001E6232">
        <w:rPr>
          <w:b/>
          <w:szCs w:val="24"/>
        </w:rPr>
        <w:t xml:space="preserve"> Vet</w:t>
      </w:r>
      <w:r w:rsidRPr="001E6232">
        <w:rPr>
          <w:szCs w:val="24"/>
        </w:rPr>
        <w:t xml:space="preserve">; </w:t>
      </w:r>
      <w:r w:rsidR="0049270C">
        <w:rPr>
          <w:szCs w:val="24"/>
        </w:rPr>
        <w:t>v.25</w:t>
      </w:r>
      <w:r w:rsidRPr="001E6232">
        <w:rPr>
          <w:szCs w:val="24"/>
        </w:rPr>
        <w:t>(12), p.1-7, 2008.</w:t>
      </w:r>
    </w:p>
    <w:p w:rsidR="00A132D6" w:rsidRPr="001E6232" w:rsidRDefault="004412C8" w:rsidP="004412C8">
      <w:pPr>
        <w:spacing w:before="60" w:after="60" w:line="240" w:lineRule="auto"/>
        <w:jc w:val="both"/>
        <w:rPr>
          <w:szCs w:val="24"/>
          <w:lang w:val="en-US"/>
        </w:rPr>
      </w:pPr>
      <w:r w:rsidRPr="001E6232">
        <w:rPr>
          <w:szCs w:val="24"/>
          <w:lang w:val="en-US"/>
        </w:rPr>
        <w:t>BALDISSEROTO, B.; RADÜNZ NETO, J.; BARCELLOS, L.G</w:t>
      </w:r>
      <w:r w:rsidR="00A132D6" w:rsidRPr="001E6232">
        <w:rPr>
          <w:szCs w:val="24"/>
          <w:lang w:val="en-US"/>
        </w:rPr>
        <w:t xml:space="preserve">. </w:t>
      </w:r>
      <w:proofErr w:type="spellStart"/>
      <w:r w:rsidR="00A132D6" w:rsidRPr="001E6232">
        <w:rPr>
          <w:szCs w:val="24"/>
          <w:lang w:val="en-US"/>
        </w:rPr>
        <w:t>Jundiá</w:t>
      </w:r>
      <w:proofErr w:type="spellEnd"/>
      <w:r w:rsidR="00A132D6" w:rsidRPr="001E6232">
        <w:rPr>
          <w:szCs w:val="24"/>
          <w:lang w:val="en-US"/>
        </w:rPr>
        <w:t xml:space="preserve"> (</w:t>
      </w:r>
      <w:proofErr w:type="spellStart"/>
      <w:r w:rsidR="00A132D6" w:rsidRPr="001E6232">
        <w:rPr>
          <w:i/>
          <w:szCs w:val="24"/>
          <w:lang w:val="en-US"/>
        </w:rPr>
        <w:t>Rhamdia</w:t>
      </w:r>
      <w:proofErr w:type="spellEnd"/>
      <w:r w:rsidR="00A132D6" w:rsidRPr="001E6232">
        <w:rPr>
          <w:szCs w:val="24"/>
          <w:lang w:val="en-US"/>
        </w:rPr>
        <w:t xml:space="preserve"> sp.). In </w:t>
      </w:r>
      <w:r w:rsidRPr="001E6232">
        <w:rPr>
          <w:szCs w:val="24"/>
          <w:lang w:val="en-US"/>
        </w:rPr>
        <w:t>BALDISSEROTO, B.; GOMES, L.C.</w:t>
      </w:r>
      <w:r w:rsidR="00A132D6" w:rsidRPr="001E6232">
        <w:rPr>
          <w:szCs w:val="24"/>
          <w:lang w:val="en-US"/>
        </w:rPr>
        <w:t xml:space="preserve"> </w:t>
      </w:r>
      <w:r w:rsidR="00A132D6" w:rsidRPr="001E6232">
        <w:rPr>
          <w:szCs w:val="24"/>
        </w:rPr>
        <w:t xml:space="preserve">Espécies nativas para piscicultura no Brasil. </w:t>
      </w:r>
      <w:r w:rsidRPr="001E6232">
        <w:rPr>
          <w:szCs w:val="24"/>
          <w:lang w:val="en-US"/>
        </w:rPr>
        <w:t>Santa Maria: UFSM,</w:t>
      </w:r>
      <w:r w:rsidR="00A132D6" w:rsidRPr="001E6232">
        <w:rPr>
          <w:szCs w:val="24"/>
          <w:lang w:val="en-US"/>
        </w:rPr>
        <w:t xml:space="preserve"> 2010. </w:t>
      </w:r>
      <w:proofErr w:type="gramStart"/>
      <w:r w:rsidR="00A132D6" w:rsidRPr="001E6232">
        <w:rPr>
          <w:szCs w:val="24"/>
          <w:lang w:val="en-US"/>
        </w:rPr>
        <w:t>p.301-333</w:t>
      </w:r>
      <w:proofErr w:type="gramEnd"/>
      <w:r w:rsidR="00A132D6" w:rsidRPr="001E6232">
        <w:rPr>
          <w:szCs w:val="24"/>
          <w:lang w:val="en-US"/>
        </w:rPr>
        <w:t>.</w:t>
      </w:r>
    </w:p>
    <w:p w:rsidR="00A132D6" w:rsidRPr="001E6232" w:rsidRDefault="00C37B25" w:rsidP="004412C8">
      <w:pPr>
        <w:spacing w:before="60" w:after="60" w:line="240" w:lineRule="auto"/>
        <w:jc w:val="both"/>
        <w:rPr>
          <w:szCs w:val="24"/>
          <w:lang w:val="en-US"/>
        </w:rPr>
      </w:pPr>
      <w:r w:rsidRPr="001E6232">
        <w:rPr>
          <w:szCs w:val="24"/>
          <w:lang w:val="en-US"/>
        </w:rPr>
        <w:t>BAROILLER, J.F.; GUIGUEN, Y.; FOSTIER, A.</w:t>
      </w:r>
      <w:r w:rsidR="00A132D6" w:rsidRPr="001E6232">
        <w:rPr>
          <w:szCs w:val="24"/>
          <w:lang w:val="en-US"/>
        </w:rPr>
        <w:t xml:space="preserve"> Endocrine and environmental aspects of sex differentiation in fish. </w:t>
      </w:r>
      <w:r w:rsidR="00A132D6" w:rsidRPr="001E6232">
        <w:rPr>
          <w:b/>
          <w:szCs w:val="24"/>
          <w:lang w:val="en-US"/>
        </w:rPr>
        <w:t xml:space="preserve">Cell </w:t>
      </w:r>
      <w:proofErr w:type="spellStart"/>
      <w:r w:rsidR="00A132D6" w:rsidRPr="001E6232">
        <w:rPr>
          <w:b/>
          <w:szCs w:val="24"/>
          <w:lang w:val="en-US"/>
        </w:rPr>
        <w:t>Mol</w:t>
      </w:r>
      <w:proofErr w:type="spellEnd"/>
      <w:r w:rsidR="00A132D6" w:rsidRPr="001E6232">
        <w:rPr>
          <w:b/>
          <w:szCs w:val="24"/>
          <w:lang w:val="en-US"/>
        </w:rPr>
        <w:t xml:space="preserve"> Life</w:t>
      </w:r>
      <w:r w:rsidRPr="001E6232">
        <w:rPr>
          <w:szCs w:val="24"/>
          <w:lang w:val="en-US"/>
        </w:rPr>
        <w:t>,</w:t>
      </w:r>
      <w:r w:rsidR="00A132D6" w:rsidRPr="001E6232">
        <w:rPr>
          <w:szCs w:val="24"/>
          <w:lang w:val="en-US"/>
        </w:rPr>
        <w:t xml:space="preserve"> </w:t>
      </w:r>
      <w:r w:rsidRPr="001E6232">
        <w:rPr>
          <w:szCs w:val="24"/>
          <w:lang w:val="en-US"/>
        </w:rPr>
        <w:t>v.55, p.</w:t>
      </w:r>
      <w:r w:rsidR="00A132D6" w:rsidRPr="001E6232">
        <w:rPr>
          <w:szCs w:val="24"/>
          <w:lang w:val="en-US"/>
        </w:rPr>
        <w:t>910-931</w:t>
      </w:r>
      <w:r w:rsidRPr="001E6232">
        <w:rPr>
          <w:szCs w:val="24"/>
          <w:lang w:val="en-US"/>
        </w:rPr>
        <w:t>, 1999</w:t>
      </w:r>
      <w:r w:rsidR="00A132D6" w:rsidRPr="001E6232">
        <w:rPr>
          <w:szCs w:val="24"/>
          <w:lang w:val="en-US"/>
        </w:rPr>
        <w:t>.</w:t>
      </w:r>
    </w:p>
    <w:p w:rsidR="00A132D6" w:rsidRPr="001E6232" w:rsidRDefault="001E6232" w:rsidP="004412C8">
      <w:pPr>
        <w:spacing w:before="60" w:after="60" w:line="240" w:lineRule="auto"/>
        <w:jc w:val="both"/>
        <w:rPr>
          <w:szCs w:val="24"/>
          <w:lang w:val="en-US"/>
        </w:rPr>
      </w:pPr>
      <w:r w:rsidRPr="001E6232">
        <w:rPr>
          <w:szCs w:val="24"/>
          <w:lang w:val="en-US"/>
        </w:rPr>
        <w:t>DAVIS</w:t>
      </w:r>
      <w:r>
        <w:rPr>
          <w:szCs w:val="24"/>
          <w:lang w:val="en-US"/>
        </w:rPr>
        <w:t>,</w:t>
      </w:r>
      <w:r w:rsidRPr="001E6232">
        <w:rPr>
          <w:szCs w:val="24"/>
          <w:lang w:val="en-US"/>
        </w:rPr>
        <w:t xml:space="preserve"> K</w:t>
      </w:r>
      <w:r>
        <w:rPr>
          <w:szCs w:val="24"/>
          <w:lang w:val="en-US"/>
        </w:rPr>
        <w:t>.</w:t>
      </w:r>
      <w:r w:rsidRPr="001E6232">
        <w:rPr>
          <w:szCs w:val="24"/>
          <w:lang w:val="en-US"/>
        </w:rPr>
        <w:t>B</w:t>
      </w:r>
      <w:r>
        <w:rPr>
          <w:szCs w:val="24"/>
          <w:lang w:val="en-US"/>
        </w:rPr>
        <w:t>.;</w:t>
      </w:r>
      <w:r w:rsidRPr="001E6232">
        <w:rPr>
          <w:szCs w:val="24"/>
          <w:lang w:val="en-US"/>
        </w:rPr>
        <w:t xml:space="preserve"> SIMCO</w:t>
      </w:r>
      <w:r>
        <w:rPr>
          <w:szCs w:val="24"/>
          <w:lang w:val="en-US"/>
        </w:rPr>
        <w:t>,</w:t>
      </w:r>
      <w:r w:rsidRPr="001E6232">
        <w:rPr>
          <w:szCs w:val="24"/>
          <w:lang w:val="en-US"/>
        </w:rPr>
        <w:t xml:space="preserve"> B</w:t>
      </w:r>
      <w:r>
        <w:rPr>
          <w:szCs w:val="24"/>
          <w:lang w:val="en-US"/>
        </w:rPr>
        <w:t>.</w:t>
      </w:r>
      <w:r w:rsidRPr="001E6232">
        <w:rPr>
          <w:szCs w:val="24"/>
          <w:lang w:val="en-US"/>
        </w:rPr>
        <w:t>A</w:t>
      </w:r>
      <w:r>
        <w:rPr>
          <w:szCs w:val="24"/>
          <w:lang w:val="en-US"/>
        </w:rPr>
        <w:t>.;</w:t>
      </w:r>
      <w:r w:rsidRPr="001E6232">
        <w:rPr>
          <w:szCs w:val="24"/>
          <w:lang w:val="en-US"/>
        </w:rPr>
        <w:t xml:space="preserve"> GOUDIE</w:t>
      </w:r>
      <w:r>
        <w:rPr>
          <w:szCs w:val="24"/>
          <w:lang w:val="en-US"/>
        </w:rPr>
        <w:t>,</w:t>
      </w:r>
      <w:r w:rsidRPr="001E6232">
        <w:rPr>
          <w:szCs w:val="24"/>
          <w:lang w:val="en-US"/>
        </w:rPr>
        <w:t xml:space="preserve"> C</w:t>
      </w:r>
      <w:r>
        <w:rPr>
          <w:szCs w:val="24"/>
          <w:lang w:val="en-US"/>
        </w:rPr>
        <w:t>.</w:t>
      </w:r>
      <w:r w:rsidRPr="001E6232">
        <w:rPr>
          <w:szCs w:val="24"/>
          <w:lang w:val="en-US"/>
        </w:rPr>
        <w:t>A</w:t>
      </w:r>
      <w:r>
        <w:rPr>
          <w:szCs w:val="24"/>
          <w:lang w:val="en-US"/>
        </w:rPr>
        <w:t>.;</w:t>
      </w:r>
      <w:r w:rsidRPr="001E6232">
        <w:rPr>
          <w:szCs w:val="24"/>
          <w:lang w:val="en-US"/>
        </w:rPr>
        <w:t xml:space="preserve"> PARKER</w:t>
      </w:r>
      <w:r>
        <w:rPr>
          <w:szCs w:val="24"/>
          <w:lang w:val="en-US"/>
        </w:rPr>
        <w:t>,</w:t>
      </w:r>
      <w:r w:rsidRPr="001E6232">
        <w:rPr>
          <w:szCs w:val="24"/>
          <w:lang w:val="en-US"/>
        </w:rPr>
        <w:t xml:space="preserve"> N</w:t>
      </w:r>
      <w:r>
        <w:rPr>
          <w:szCs w:val="24"/>
          <w:lang w:val="en-US"/>
        </w:rPr>
        <w:t>.</w:t>
      </w:r>
      <w:r w:rsidRPr="001E6232">
        <w:rPr>
          <w:szCs w:val="24"/>
          <w:lang w:val="en-US"/>
        </w:rPr>
        <w:t>C</w:t>
      </w:r>
      <w:r>
        <w:rPr>
          <w:szCs w:val="24"/>
          <w:lang w:val="en-US"/>
        </w:rPr>
        <w:t>.;</w:t>
      </w:r>
      <w:r w:rsidRPr="001E6232">
        <w:rPr>
          <w:szCs w:val="24"/>
          <w:lang w:val="en-US"/>
        </w:rPr>
        <w:t xml:space="preserve"> CAULDWELL</w:t>
      </w:r>
      <w:r>
        <w:rPr>
          <w:szCs w:val="24"/>
          <w:lang w:val="en-US"/>
        </w:rPr>
        <w:t>,</w:t>
      </w:r>
      <w:r w:rsidRPr="001E6232">
        <w:rPr>
          <w:szCs w:val="24"/>
          <w:lang w:val="en-US"/>
        </w:rPr>
        <w:t xml:space="preserve"> W</w:t>
      </w:r>
      <w:r>
        <w:rPr>
          <w:szCs w:val="24"/>
          <w:lang w:val="en-US"/>
        </w:rPr>
        <w:t>.;</w:t>
      </w:r>
      <w:r w:rsidRPr="001E6232">
        <w:rPr>
          <w:szCs w:val="24"/>
          <w:lang w:val="en-US"/>
        </w:rPr>
        <w:t xml:space="preserve"> SNELLGROVE</w:t>
      </w:r>
      <w:r>
        <w:rPr>
          <w:szCs w:val="24"/>
          <w:lang w:val="en-US"/>
        </w:rPr>
        <w:t>,</w:t>
      </w:r>
      <w:r w:rsidRPr="001E6232">
        <w:rPr>
          <w:szCs w:val="24"/>
          <w:lang w:val="en-US"/>
        </w:rPr>
        <w:t xml:space="preserve"> R.</w:t>
      </w:r>
      <w:r w:rsidR="00A132D6" w:rsidRPr="001E6232">
        <w:rPr>
          <w:szCs w:val="24"/>
          <w:lang w:val="en-US"/>
        </w:rPr>
        <w:t xml:space="preserve"> Hormonal sex manipulation and evidence for female </w:t>
      </w:r>
      <w:proofErr w:type="spellStart"/>
      <w:r w:rsidR="00A132D6" w:rsidRPr="001E6232">
        <w:rPr>
          <w:szCs w:val="24"/>
          <w:lang w:val="en-US"/>
        </w:rPr>
        <w:t>homogamety</w:t>
      </w:r>
      <w:proofErr w:type="spellEnd"/>
      <w:r w:rsidR="00A132D6" w:rsidRPr="001E6232">
        <w:rPr>
          <w:szCs w:val="24"/>
          <w:lang w:val="en-US"/>
        </w:rPr>
        <w:t xml:space="preserve"> in channel catfish. </w:t>
      </w:r>
      <w:r w:rsidR="00A132D6" w:rsidRPr="001E6232">
        <w:rPr>
          <w:b/>
          <w:szCs w:val="24"/>
          <w:lang w:val="en-US"/>
        </w:rPr>
        <w:t xml:space="preserve">Gen Comp </w:t>
      </w:r>
      <w:proofErr w:type="spellStart"/>
      <w:r w:rsidR="00A132D6" w:rsidRPr="001E6232">
        <w:rPr>
          <w:b/>
          <w:szCs w:val="24"/>
          <w:lang w:val="en-US"/>
        </w:rPr>
        <w:t>Endocrinol</w:t>
      </w:r>
      <w:proofErr w:type="spellEnd"/>
      <w:r w:rsidR="00A132D6" w:rsidRPr="001E6232">
        <w:rPr>
          <w:szCs w:val="24"/>
          <w:lang w:val="en-US"/>
        </w:rPr>
        <w:t xml:space="preserve">; </w:t>
      </w:r>
      <w:r>
        <w:rPr>
          <w:szCs w:val="24"/>
          <w:lang w:val="en-US"/>
        </w:rPr>
        <w:t>v.78,</w:t>
      </w:r>
      <w:r w:rsidR="00A132D6" w:rsidRPr="001E6232">
        <w:rPr>
          <w:szCs w:val="24"/>
          <w:lang w:val="en-US"/>
        </w:rPr>
        <w:t xml:space="preserve"> </w:t>
      </w:r>
      <w:r>
        <w:rPr>
          <w:szCs w:val="24"/>
          <w:lang w:val="en-US"/>
        </w:rPr>
        <w:t>p.</w:t>
      </w:r>
      <w:r w:rsidR="00A132D6" w:rsidRPr="001E6232">
        <w:rPr>
          <w:szCs w:val="24"/>
          <w:lang w:val="en-US"/>
        </w:rPr>
        <w:t>218-223</w:t>
      </w:r>
      <w:r>
        <w:rPr>
          <w:szCs w:val="24"/>
          <w:lang w:val="en-US"/>
        </w:rPr>
        <w:t xml:space="preserve">, </w:t>
      </w:r>
      <w:r w:rsidRPr="001E6232">
        <w:rPr>
          <w:szCs w:val="24"/>
          <w:lang w:val="en-US"/>
        </w:rPr>
        <w:t>1990</w:t>
      </w:r>
      <w:r w:rsidR="00A132D6" w:rsidRPr="001E6232">
        <w:rPr>
          <w:szCs w:val="24"/>
          <w:lang w:val="en-US"/>
        </w:rPr>
        <w:t xml:space="preserve">. </w:t>
      </w:r>
    </w:p>
    <w:p w:rsidR="00A132D6" w:rsidRPr="001E6232" w:rsidRDefault="001E6232" w:rsidP="004412C8">
      <w:pPr>
        <w:spacing w:before="60" w:after="60" w:line="240" w:lineRule="auto"/>
        <w:jc w:val="both"/>
        <w:rPr>
          <w:szCs w:val="24"/>
          <w:lang w:val="en-US"/>
        </w:rPr>
      </w:pPr>
      <w:r w:rsidRPr="001E6232">
        <w:rPr>
          <w:szCs w:val="24"/>
          <w:lang w:val="en-US"/>
        </w:rPr>
        <w:t>DONALDSON</w:t>
      </w:r>
      <w:r>
        <w:rPr>
          <w:szCs w:val="24"/>
          <w:lang w:val="en-US"/>
        </w:rPr>
        <w:t>,</w:t>
      </w:r>
      <w:r w:rsidRPr="001E6232">
        <w:rPr>
          <w:szCs w:val="24"/>
          <w:lang w:val="en-US"/>
        </w:rPr>
        <w:t xml:space="preserve"> E</w:t>
      </w:r>
      <w:r>
        <w:rPr>
          <w:szCs w:val="24"/>
          <w:lang w:val="en-US"/>
        </w:rPr>
        <w:t>.</w:t>
      </w:r>
      <w:r w:rsidRPr="001E6232">
        <w:rPr>
          <w:szCs w:val="24"/>
          <w:lang w:val="en-US"/>
        </w:rPr>
        <w:t>M</w:t>
      </w:r>
      <w:r>
        <w:rPr>
          <w:szCs w:val="24"/>
          <w:lang w:val="en-US"/>
        </w:rPr>
        <w:t>.;</w:t>
      </w:r>
      <w:r w:rsidRPr="001E6232">
        <w:rPr>
          <w:szCs w:val="24"/>
          <w:lang w:val="en-US"/>
        </w:rPr>
        <w:t xml:space="preserve"> DEVLIN</w:t>
      </w:r>
      <w:r>
        <w:rPr>
          <w:szCs w:val="24"/>
          <w:lang w:val="en-US"/>
        </w:rPr>
        <w:t>,</w:t>
      </w:r>
      <w:r w:rsidRPr="001E6232">
        <w:rPr>
          <w:szCs w:val="24"/>
          <w:lang w:val="en-US"/>
        </w:rPr>
        <w:t xml:space="preserve"> R</w:t>
      </w:r>
      <w:r>
        <w:rPr>
          <w:szCs w:val="24"/>
          <w:lang w:val="en-US"/>
        </w:rPr>
        <w:t>.</w:t>
      </w:r>
      <w:r w:rsidRPr="001E6232">
        <w:rPr>
          <w:szCs w:val="24"/>
          <w:lang w:val="en-US"/>
        </w:rPr>
        <w:t>H</w:t>
      </w:r>
      <w:r w:rsidR="00A132D6" w:rsidRPr="001E6232">
        <w:rPr>
          <w:szCs w:val="24"/>
          <w:lang w:val="en-US"/>
        </w:rPr>
        <w:t xml:space="preserve">. Uses of biotechnology to enhance production. In Pennell W, Barton BA, editors. Developments in Aquaculture and Fisheries Science: Principles of Salmonid Culture. Amsterdam: Elsevier; 1996. </w:t>
      </w:r>
      <w:proofErr w:type="gramStart"/>
      <w:r w:rsidR="00A132D6" w:rsidRPr="001E6232">
        <w:rPr>
          <w:szCs w:val="24"/>
          <w:lang w:val="en-US"/>
        </w:rPr>
        <w:t>p.969-1020</w:t>
      </w:r>
      <w:proofErr w:type="gramEnd"/>
      <w:r w:rsidR="00A132D6" w:rsidRPr="001E6232">
        <w:rPr>
          <w:szCs w:val="24"/>
          <w:lang w:val="en-US"/>
        </w:rPr>
        <w:t>.</w:t>
      </w:r>
    </w:p>
    <w:p w:rsidR="00A132D6" w:rsidRPr="001E6232" w:rsidRDefault="001E6232" w:rsidP="004412C8">
      <w:pPr>
        <w:spacing w:before="60" w:after="60" w:line="240" w:lineRule="auto"/>
        <w:jc w:val="both"/>
        <w:rPr>
          <w:szCs w:val="24"/>
          <w:lang w:val="en-US"/>
        </w:rPr>
      </w:pPr>
      <w:r w:rsidRPr="001E6232">
        <w:rPr>
          <w:szCs w:val="24"/>
          <w:lang w:val="en-US"/>
        </w:rPr>
        <w:t>DUNHAN</w:t>
      </w:r>
      <w:r>
        <w:rPr>
          <w:szCs w:val="24"/>
          <w:lang w:val="en-US"/>
        </w:rPr>
        <w:t>,</w:t>
      </w:r>
      <w:r w:rsidR="00A132D6" w:rsidRPr="001E6232">
        <w:rPr>
          <w:szCs w:val="24"/>
          <w:lang w:val="en-US"/>
        </w:rPr>
        <w:t xml:space="preserve"> R</w:t>
      </w:r>
      <w:r>
        <w:rPr>
          <w:szCs w:val="24"/>
          <w:lang w:val="en-US"/>
        </w:rPr>
        <w:t>.</w:t>
      </w:r>
      <w:r w:rsidR="00A132D6" w:rsidRPr="001E6232">
        <w:rPr>
          <w:szCs w:val="24"/>
          <w:lang w:val="en-US"/>
        </w:rPr>
        <w:t xml:space="preserve">A. </w:t>
      </w:r>
      <w:r w:rsidR="00A132D6" w:rsidRPr="006F540B">
        <w:rPr>
          <w:b/>
          <w:szCs w:val="24"/>
          <w:lang w:val="en-US"/>
        </w:rPr>
        <w:t>Aquaculture and Fisheries Biotechnology: Genetic Approaches</w:t>
      </w:r>
      <w:r w:rsidR="00A132D6" w:rsidRPr="001E6232">
        <w:rPr>
          <w:szCs w:val="24"/>
          <w:lang w:val="en-US"/>
        </w:rPr>
        <w:t>. Wallingford: CABI; 2004.</w:t>
      </w:r>
    </w:p>
    <w:p w:rsidR="00A132D6" w:rsidRPr="001E6232" w:rsidRDefault="001E6232" w:rsidP="004412C8">
      <w:pPr>
        <w:spacing w:before="60" w:after="60" w:line="240" w:lineRule="auto"/>
        <w:jc w:val="both"/>
        <w:rPr>
          <w:szCs w:val="24"/>
          <w:lang w:val="en-US"/>
        </w:rPr>
      </w:pPr>
      <w:r w:rsidRPr="001E6232">
        <w:rPr>
          <w:szCs w:val="24"/>
          <w:lang w:val="en-US"/>
        </w:rPr>
        <w:t>EL-SAYED</w:t>
      </w:r>
      <w:r>
        <w:rPr>
          <w:szCs w:val="24"/>
          <w:lang w:val="en-US"/>
        </w:rPr>
        <w:t>,</w:t>
      </w:r>
      <w:r w:rsidRPr="001E6232">
        <w:rPr>
          <w:szCs w:val="24"/>
          <w:lang w:val="en-US"/>
        </w:rPr>
        <w:t xml:space="preserve"> </w:t>
      </w:r>
      <w:r w:rsidR="00A132D6" w:rsidRPr="001E6232">
        <w:rPr>
          <w:szCs w:val="24"/>
          <w:lang w:val="en-US"/>
        </w:rPr>
        <w:t>A</w:t>
      </w:r>
      <w:r>
        <w:rPr>
          <w:szCs w:val="24"/>
          <w:lang w:val="en-US"/>
        </w:rPr>
        <w:t>.</w:t>
      </w:r>
      <w:r w:rsidR="00A132D6" w:rsidRPr="001E6232">
        <w:rPr>
          <w:szCs w:val="24"/>
          <w:lang w:val="en-US"/>
        </w:rPr>
        <w:t>F</w:t>
      </w:r>
      <w:r>
        <w:rPr>
          <w:szCs w:val="24"/>
          <w:lang w:val="en-US"/>
        </w:rPr>
        <w:t>.</w:t>
      </w:r>
      <w:r w:rsidR="00A132D6" w:rsidRPr="001E6232">
        <w:rPr>
          <w:szCs w:val="24"/>
          <w:lang w:val="en-US"/>
        </w:rPr>
        <w:t xml:space="preserve">M. </w:t>
      </w:r>
      <w:r w:rsidR="00A132D6" w:rsidRPr="006F540B">
        <w:rPr>
          <w:b/>
          <w:szCs w:val="24"/>
          <w:lang w:val="en-US"/>
        </w:rPr>
        <w:t>Tilapia culture</w:t>
      </w:r>
      <w:r w:rsidR="00A132D6" w:rsidRPr="001E6232">
        <w:rPr>
          <w:szCs w:val="24"/>
          <w:lang w:val="en-US"/>
        </w:rPr>
        <w:t>. Cambridge: CABI Publishing; 2006.</w:t>
      </w:r>
    </w:p>
    <w:p w:rsidR="00A132D6" w:rsidRPr="001E6232" w:rsidRDefault="001E6232" w:rsidP="004412C8">
      <w:pPr>
        <w:spacing w:before="60" w:after="60" w:line="240" w:lineRule="auto"/>
        <w:jc w:val="both"/>
        <w:rPr>
          <w:szCs w:val="24"/>
        </w:rPr>
      </w:pPr>
      <w:r w:rsidRPr="001E6232">
        <w:rPr>
          <w:szCs w:val="24"/>
          <w:lang w:val="en-US"/>
        </w:rPr>
        <w:t>FEIST</w:t>
      </w:r>
      <w:r>
        <w:rPr>
          <w:szCs w:val="24"/>
          <w:lang w:val="en-US"/>
        </w:rPr>
        <w:t>,</w:t>
      </w:r>
      <w:r w:rsidRPr="001E6232">
        <w:rPr>
          <w:szCs w:val="24"/>
          <w:lang w:val="en-US"/>
        </w:rPr>
        <w:t xml:space="preserve"> G</w:t>
      </w:r>
      <w:r>
        <w:rPr>
          <w:szCs w:val="24"/>
          <w:lang w:val="en-US"/>
        </w:rPr>
        <w:t>.;</w:t>
      </w:r>
      <w:r w:rsidRPr="001E6232">
        <w:rPr>
          <w:szCs w:val="24"/>
          <w:lang w:val="en-US"/>
        </w:rPr>
        <w:t xml:space="preserve"> YEOH</w:t>
      </w:r>
      <w:r>
        <w:rPr>
          <w:szCs w:val="24"/>
          <w:lang w:val="en-US"/>
        </w:rPr>
        <w:t>,</w:t>
      </w:r>
      <w:r w:rsidRPr="001E6232">
        <w:rPr>
          <w:szCs w:val="24"/>
          <w:lang w:val="en-US"/>
        </w:rPr>
        <w:t xml:space="preserve"> C</w:t>
      </w:r>
      <w:r>
        <w:rPr>
          <w:szCs w:val="24"/>
          <w:lang w:val="en-US"/>
        </w:rPr>
        <w:t>.;</w:t>
      </w:r>
      <w:r w:rsidRPr="001E6232">
        <w:rPr>
          <w:szCs w:val="24"/>
          <w:lang w:val="en-US"/>
        </w:rPr>
        <w:t xml:space="preserve"> FITZPATRICK</w:t>
      </w:r>
      <w:r>
        <w:rPr>
          <w:szCs w:val="24"/>
          <w:lang w:val="en-US"/>
        </w:rPr>
        <w:t>,</w:t>
      </w:r>
      <w:r w:rsidRPr="001E6232">
        <w:rPr>
          <w:szCs w:val="24"/>
          <w:lang w:val="en-US"/>
        </w:rPr>
        <w:t xml:space="preserve"> M</w:t>
      </w:r>
      <w:r>
        <w:rPr>
          <w:szCs w:val="24"/>
          <w:lang w:val="en-US"/>
        </w:rPr>
        <w:t>.</w:t>
      </w:r>
      <w:r w:rsidRPr="001E6232">
        <w:rPr>
          <w:szCs w:val="24"/>
          <w:lang w:val="en-US"/>
        </w:rPr>
        <w:t>S</w:t>
      </w:r>
      <w:r>
        <w:rPr>
          <w:szCs w:val="24"/>
          <w:lang w:val="en-US"/>
        </w:rPr>
        <w:t>.;</w:t>
      </w:r>
      <w:r w:rsidRPr="001E6232">
        <w:rPr>
          <w:szCs w:val="24"/>
          <w:lang w:val="en-US"/>
        </w:rPr>
        <w:t xml:space="preserve"> SCHRECK</w:t>
      </w:r>
      <w:r>
        <w:rPr>
          <w:szCs w:val="24"/>
          <w:lang w:val="en-US"/>
        </w:rPr>
        <w:t>,</w:t>
      </w:r>
      <w:r w:rsidR="00A132D6" w:rsidRPr="001E6232">
        <w:rPr>
          <w:szCs w:val="24"/>
          <w:lang w:val="en-US"/>
        </w:rPr>
        <w:t xml:space="preserve"> C</w:t>
      </w:r>
      <w:r>
        <w:rPr>
          <w:szCs w:val="24"/>
          <w:lang w:val="en-US"/>
        </w:rPr>
        <w:t>.</w:t>
      </w:r>
      <w:r w:rsidR="00A132D6" w:rsidRPr="001E6232">
        <w:rPr>
          <w:szCs w:val="24"/>
          <w:lang w:val="en-US"/>
        </w:rPr>
        <w:t>B. The production of functional sex-reversed male rainbow trout with 17</w:t>
      </w:r>
      <w:r w:rsidR="00A132D6" w:rsidRPr="001E6232">
        <w:rPr>
          <w:szCs w:val="24"/>
        </w:rPr>
        <w:t>α</w:t>
      </w:r>
      <w:r w:rsidR="00A132D6" w:rsidRPr="001E6232">
        <w:rPr>
          <w:szCs w:val="24"/>
          <w:lang w:val="en-US"/>
        </w:rPr>
        <w:t>-</w:t>
      </w:r>
      <w:proofErr w:type="spellStart"/>
      <w:r w:rsidR="00A132D6" w:rsidRPr="001E6232">
        <w:rPr>
          <w:szCs w:val="24"/>
          <w:lang w:val="en-US"/>
        </w:rPr>
        <w:t>methyltestosterone</w:t>
      </w:r>
      <w:proofErr w:type="spellEnd"/>
      <w:r w:rsidR="00A132D6" w:rsidRPr="001E6232">
        <w:rPr>
          <w:szCs w:val="24"/>
          <w:lang w:val="en-US"/>
        </w:rPr>
        <w:t xml:space="preserve"> and 11 </w:t>
      </w:r>
      <w:r w:rsidR="00A132D6" w:rsidRPr="001E6232">
        <w:rPr>
          <w:szCs w:val="24"/>
        </w:rPr>
        <w:t>β</w:t>
      </w:r>
      <w:r w:rsidR="00A132D6" w:rsidRPr="001E6232">
        <w:rPr>
          <w:szCs w:val="24"/>
          <w:lang w:val="en-US"/>
        </w:rPr>
        <w:t>-</w:t>
      </w:r>
      <w:proofErr w:type="spellStart"/>
      <w:r w:rsidR="00A132D6" w:rsidRPr="001E6232">
        <w:rPr>
          <w:szCs w:val="24"/>
          <w:lang w:val="en-US"/>
        </w:rPr>
        <w:t>hydroxyandrostenedione</w:t>
      </w:r>
      <w:proofErr w:type="spellEnd"/>
      <w:r w:rsidR="00A132D6" w:rsidRPr="001E6232">
        <w:rPr>
          <w:szCs w:val="24"/>
          <w:lang w:val="en-US"/>
        </w:rPr>
        <w:t xml:space="preserve">. </w:t>
      </w:r>
      <w:proofErr w:type="spellStart"/>
      <w:r w:rsidR="00A132D6" w:rsidRPr="006F540B">
        <w:rPr>
          <w:b/>
          <w:szCs w:val="24"/>
        </w:rPr>
        <w:t>Aquaculture</w:t>
      </w:r>
      <w:proofErr w:type="spellEnd"/>
      <w:r>
        <w:rPr>
          <w:szCs w:val="24"/>
        </w:rPr>
        <w:t>,</w:t>
      </w:r>
      <w:r w:rsidR="00A132D6" w:rsidRPr="001E6232">
        <w:rPr>
          <w:szCs w:val="24"/>
        </w:rPr>
        <w:t xml:space="preserve"> </w:t>
      </w:r>
      <w:r>
        <w:rPr>
          <w:szCs w:val="24"/>
        </w:rPr>
        <w:t>v.</w:t>
      </w:r>
      <w:r w:rsidR="00A132D6" w:rsidRPr="001E6232">
        <w:rPr>
          <w:szCs w:val="24"/>
        </w:rPr>
        <w:t>13</w:t>
      </w:r>
      <w:r>
        <w:rPr>
          <w:szCs w:val="24"/>
        </w:rPr>
        <w:t>,</w:t>
      </w:r>
      <w:r w:rsidR="00A132D6" w:rsidRPr="001E6232">
        <w:rPr>
          <w:szCs w:val="24"/>
        </w:rPr>
        <w:t xml:space="preserve"> </w:t>
      </w:r>
      <w:r>
        <w:rPr>
          <w:szCs w:val="24"/>
        </w:rPr>
        <w:t>p.</w:t>
      </w:r>
      <w:r w:rsidR="00A132D6" w:rsidRPr="001E6232">
        <w:rPr>
          <w:szCs w:val="24"/>
        </w:rPr>
        <w:t>145-152</w:t>
      </w:r>
      <w:r>
        <w:rPr>
          <w:szCs w:val="24"/>
        </w:rPr>
        <w:t xml:space="preserve">, </w:t>
      </w:r>
      <w:r w:rsidRPr="001E6232">
        <w:rPr>
          <w:szCs w:val="24"/>
        </w:rPr>
        <w:t>1995</w:t>
      </w:r>
      <w:r w:rsidR="00A132D6" w:rsidRPr="001E6232">
        <w:rPr>
          <w:szCs w:val="24"/>
        </w:rPr>
        <w:t xml:space="preserve">. </w:t>
      </w:r>
    </w:p>
    <w:p w:rsidR="00A132D6" w:rsidRPr="001E6232" w:rsidRDefault="001E6232" w:rsidP="004412C8">
      <w:pPr>
        <w:spacing w:before="60" w:after="60" w:line="240" w:lineRule="auto"/>
        <w:jc w:val="both"/>
        <w:rPr>
          <w:szCs w:val="24"/>
        </w:rPr>
      </w:pPr>
      <w:r w:rsidRPr="001E6232">
        <w:rPr>
          <w:szCs w:val="24"/>
        </w:rPr>
        <w:t>GHIRALDELLI</w:t>
      </w:r>
      <w:r>
        <w:rPr>
          <w:szCs w:val="24"/>
        </w:rPr>
        <w:t>,</w:t>
      </w:r>
      <w:r w:rsidRPr="001E6232">
        <w:rPr>
          <w:szCs w:val="24"/>
        </w:rPr>
        <w:t xml:space="preserve"> L</w:t>
      </w:r>
      <w:r>
        <w:rPr>
          <w:szCs w:val="24"/>
        </w:rPr>
        <w:t>.;</w:t>
      </w:r>
      <w:r w:rsidRPr="001E6232">
        <w:rPr>
          <w:szCs w:val="24"/>
        </w:rPr>
        <w:t xml:space="preserve"> MACHADO</w:t>
      </w:r>
      <w:r>
        <w:rPr>
          <w:szCs w:val="24"/>
        </w:rPr>
        <w:t>,</w:t>
      </w:r>
      <w:r w:rsidRPr="001E6232">
        <w:rPr>
          <w:szCs w:val="24"/>
        </w:rPr>
        <w:t xml:space="preserve"> C</w:t>
      </w:r>
      <w:r>
        <w:rPr>
          <w:szCs w:val="24"/>
        </w:rPr>
        <w:t>.;</w:t>
      </w:r>
      <w:r w:rsidRPr="001E6232">
        <w:rPr>
          <w:szCs w:val="24"/>
        </w:rPr>
        <w:t xml:space="preserve"> FRACALOSSI</w:t>
      </w:r>
      <w:r>
        <w:rPr>
          <w:szCs w:val="24"/>
        </w:rPr>
        <w:t>,</w:t>
      </w:r>
      <w:r w:rsidRPr="001E6232">
        <w:rPr>
          <w:szCs w:val="24"/>
        </w:rPr>
        <w:t xml:space="preserve"> D</w:t>
      </w:r>
      <w:r w:rsidR="006F540B">
        <w:rPr>
          <w:szCs w:val="24"/>
        </w:rPr>
        <w:t>.</w:t>
      </w:r>
      <w:r w:rsidRPr="001E6232">
        <w:rPr>
          <w:szCs w:val="24"/>
        </w:rPr>
        <w:t>M</w:t>
      </w:r>
      <w:r w:rsidR="006F540B">
        <w:rPr>
          <w:szCs w:val="24"/>
        </w:rPr>
        <w:t>.;</w:t>
      </w:r>
      <w:r w:rsidRPr="001E6232">
        <w:rPr>
          <w:szCs w:val="24"/>
        </w:rPr>
        <w:t xml:space="preserve"> ZANIBONI-FILHO</w:t>
      </w:r>
      <w:r w:rsidR="00A132D6" w:rsidRPr="001E6232">
        <w:rPr>
          <w:szCs w:val="24"/>
        </w:rPr>
        <w:t xml:space="preserve"> E. Desenvolvimento </w:t>
      </w:r>
      <w:proofErr w:type="spellStart"/>
      <w:r w:rsidR="00A132D6" w:rsidRPr="001E6232">
        <w:rPr>
          <w:szCs w:val="24"/>
        </w:rPr>
        <w:t>gonadal</w:t>
      </w:r>
      <w:proofErr w:type="spellEnd"/>
      <w:r w:rsidR="00A132D6" w:rsidRPr="001E6232">
        <w:rPr>
          <w:szCs w:val="24"/>
        </w:rPr>
        <w:t xml:space="preserve"> do jundiá, </w:t>
      </w:r>
      <w:proofErr w:type="spellStart"/>
      <w:r w:rsidR="00A132D6" w:rsidRPr="001E6232">
        <w:rPr>
          <w:i/>
          <w:szCs w:val="24"/>
        </w:rPr>
        <w:t>Rhamdia</w:t>
      </w:r>
      <w:proofErr w:type="spellEnd"/>
      <w:r w:rsidR="00A132D6" w:rsidRPr="001E6232">
        <w:rPr>
          <w:i/>
          <w:szCs w:val="24"/>
        </w:rPr>
        <w:t xml:space="preserve"> </w:t>
      </w:r>
      <w:proofErr w:type="spellStart"/>
      <w:r w:rsidR="00A132D6" w:rsidRPr="001E6232">
        <w:rPr>
          <w:i/>
          <w:szCs w:val="24"/>
        </w:rPr>
        <w:t>quelen</w:t>
      </w:r>
      <w:proofErr w:type="spellEnd"/>
      <w:r w:rsidR="00A132D6" w:rsidRPr="001E6232">
        <w:rPr>
          <w:szCs w:val="24"/>
        </w:rPr>
        <w:t xml:space="preserve"> (</w:t>
      </w:r>
      <w:proofErr w:type="spellStart"/>
      <w:r w:rsidR="00A132D6" w:rsidRPr="001E6232">
        <w:rPr>
          <w:szCs w:val="24"/>
        </w:rPr>
        <w:t>Teleostei</w:t>
      </w:r>
      <w:proofErr w:type="spellEnd"/>
      <w:r w:rsidR="00A132D6" w:rsidRPr="001E6232">
        <w:rPr>
          <w:szCs w:val="24"/>
        </w:rPr>
        <w:t xml:space="preserve">, Siluriformes), em viveiros de terra, na região Sul do Brasil. </w:t>
      </w:r>
      <w:r w:rsidR="00A132D6" w:rsidRPr="006F540B">
        <w:rPr>
          <w:b/>
          <w:szCs w:val="24"/>
        </w:rPr>
        <w:t xml:space="preserve">Acta </w:t>
      </w:r>
      <w:proofErr w:type="spellStart"/>
      <w:r w:rsidR="00A132D6" w:rsidRPr="006F540B">
        <w:rPr>
          <w:b/>
          <w:szCs w:val="24"/>
        </w:rPr>
        <w:t>Sci</w:t>
      </w:r>
      <w:proofErr w:type="spellEnd"/>
      <w:r w:rsidR="00A132D6" w:rsidRPr="006F540B">
        <w:rPr>
          <w:b/>
          <w:szCs w:val="24"/>
        </w:rPr>
        <w:t xml:space="preserve"> </w:t>
      </w:r>
      <w:proofErr w:type="spellStart"/>
      <w:r w:rsidR="00A132D6" w:rsidRPr="006F540B">
        <w:rPr>
          <w:b/>
          <w:szCs w:val="24"/>
        </w:rPr>
        <w:t>Biol</w:t>
      </w:r>
      <w:proofErr w:type="spellEnd"/>
      <w:r w:rsidR="00A132D6" w:rsidRPr="006F540B">
        <w:rPr>
          <w:b/>
          <w:szCs w:val="24"/>
        </w:rPr>
        <w:t xml:space="preserve"> </w:t>
      </w:r>
      <w:proofErr w:type="spellStart"/>
      <w:r w:rsidR="00A132D6" w:rsidRPr="006F540B">
        <w:rPr>
          <w:b/>
          <w:szCs w:val="24"/>
        </w:rPr>
        <w:t>Sci</w:t>
      </w:r>
      <w:proofErr w:type="spellEnd"/>
      <w:r w:rsidR="006F540B">
        <w:rPr>
          <w:szCs w:val="24"/>
        </w:rPr>
        <w:t>, v.</w:t>
      </w:r>
      <w:r w:rsidR="00A132D6" w:rsidRPr="001E6232">
        <w:rPr>
          <w:szCs w:val="24"/>
        </w:rPr>
        <w:t>29</w:t>
      </w:r>
      <w:r w:rsidR="006F540B">
        <w:rPr>
          <w:szCs w:val="24"/>
        </w:rPr>
        <w:t>,</w:t>
      </w:r>
      <w:r w:rsidR="00A132D6" w:rsidRPr="001E6232">
        <w:rPr>
          <w:szCs w:val="24"/>
        </w:rPr>
        <w:t xml:space="preserve"> </w:t>
      </w:r>
      <w:r w:rsidR="006F540B">
        <w:rPr>
          <w:szCs w:val="24"/>
        </w:rPr>
        <w:t>p.</w:t>
      </w:r>
      <w:r w:rsidR="00A132D6" w:rsidRPr="001E6232">
        <w:rPr>
          <w:szCs w:val="24"/>
        </w:rPr>
        <w:t>349-356</w:t>
      </w:r>
      <w:r w:rsidR="006F540B">
        <w:rPr>
          <w:szCs w:val="24"/>
        </w:rPr>
        <w:t xml:space="preserve">, </w:t>
      </w:r>
      <w:r w:rsidR="006F540B" w:rsidRPr="001E6232">
        <w:rPr>
          <w:szCs w:val="24"/>
        </w:rPr>
        <w:t>2007</w:t>
      </w:r>
      <w:r w:rsidR="00A132D6" w:rsidRPr="001E6232">
        <w:rPr>
          <w:szCs w:val="24"/>
        </w:rPr>
        <w:t>.</w:t>
      </w:r>
    </w:p>
    <w:p w:rsidR="00A132D6" w:rsidRPr="001E6232" w:rsidRDefault="006F540B" w:rsidP="004412C8">
      <w:pPr>
        <w:spacing w:before="60" w:after="60" w:line="240" w:lineRule="auto"/>
        <w:jc w:val="both"/>
        <w:rPr>
          <w:szCs w:val="24"/>
          <w:lang w:val="en-US"/>
        </w:rPr>
      </w:pPr>
      <w:r w:rsidRPr="001E6232">
        <w:rPr>
          <w:szCs w:val="24"/>
          <w:lang w:val="en-US"/>
        </w:rPr>
        <w:t>HAFFRAY</w:t>
      </w:r>
      <w:r>
        <w:rPr>
          <w:szCs w:val="24"/>
          <w:lang w:val="en-US"/>
        </w:rPr>
        <w:t>,</w:t>
      </w:r>
      <w:r w:rsidRPr="001E6232">
        <w:rPr>
          <w:szCs w:val="24"/>
          <w:lang w:val="en-US"/>
        </w:rPr>
        <w:t xml:space="preserve"> P</w:t>
      </w:r>
      <w:r>
        <w:rPr>
          <w:szCs w:val="24"/>
          <w:lang w:val="en-US"/>
        </w:rPr>
        <w:t>.;</w:t>
      </w:r>
      <w:r w:rsidRPr="001E6232">
        <w:rPr>
          <w:szCs w:val="24"/>
          <w:lang w:val="en-US"/>
        </w:rPr>
        <w:t xml:space="preserve"> PETIT</w:t>
      </w:r>
      <w:r>
        <w:rPr>
          <w:szCs w:val="24"/>
          <w:lang w:val="en-US"/>
        </w:rPr>
        <w:t>,</w:t>
      </w:r>
      <w:r w:rsidRPr="001E6232">
        <w:rPr>
          <w:szCs w:val="24"/>
          <w:lang w:val="en-US"/>
        </w:rPr>
        <w:t xml:space="preserve"> V</w:t>
      </w:r>
      <w:r>
        <w:rPr>
          <w:szCs w:val="24"/>
          <w:lang w:val="en-US"/>
        </w:rPr>
        <w:t>.;</w:t>
      </w:r>
      <w:r w:rsidRPr="001E6232">
        <w:rPr>
          <w:szCs w:val="24"/>
          <w:lang w:val="en-US"/>
        </w:rPr>
        <w:t xml:space="preserve"> GUIGUEN</w:t>
      </w:r>
      <w:r>
        <w:rPr>
          <w:szCs w:val="24"/>
          <w:lang w:val="en-US"/>
        </w:rPr>
        <w:t>,</w:t>
      </w:r>
      <w:r w:rsidRPr="001E6232">
        <w:rPr>
          <w:szCs w:val="24"/>
          <w:lang w:val="en-US"/>
        </w:rPr>
        <w:t xml:space="preserve"> Y</w:t>
      </w:r>
      <w:r>
        <w:rPr>
          <w:szCs w:val="24"/>
          <w:lang w:val="en-US"/>
        </w:rPr>
        <w:t>.;</w:t>
      </w:r>
      <w:r w:rsidRPr="001E6232">
        <w:rPr>
          <w:szCs w:val="24"/>
          <w:lang w:val="en-US"/>
        </w:rPr>
        <w:t xml:space="preserve"> QUILLET</w:t>
      </w:r>
      <w:r>
        <w:rPr>
          <w:szCs w:val="24"/>
          <w:lang w:val="en-US"/>
        </w:rPr>
        <w:t>,</w:t>
      </w:r>
      <w:r w:rsidRPr="001E6232">
        <w:rPr>
          <w:szCs w:val="24"/>
          <w:lang w:val="en-US"/>
        </w:rPr>
        <w:t xml:space="preserve"> E</w:t>
      </w:r>
      <w:r>
        <w:rPr>
          <w:szCs w:val="24"/>
          <w:lang w:val="en-US"/>
        </w:rPr>
        <w:t>.;</w:t>
      </w:r>
      <w:r w:rsidRPr="001E6232">
        <w:rPr>
          <w:szCs w:val="24"/>
          <w:lang w:val="en-US"/>
        </w:rPr>
        <w:t xml:space="preserve"> RAULT</w:t>
      </w:r>
      <w:r>
        <w:rPr>
          <w:szCs w:val="24"/>
          <w:lang w:val="en-US"/>
        </w:rPr>
        <w:t>,</w:t>
      </w:r>
      <w:r w:rsidRPr="001E6232">
        <w:rPr>
          <w:szCs w:val="24"/>
          <w:lang w:val="en-US"/>
        </w:rPr>
        <w:t xml:space="preserve"> P</w:t>
      </w:r>
      <w:r>
        <w:rPr>
          <w:szCs w:val="24"/>
          <w:lang w:val="en-US"/>
        </w:rPr>
        <w:t>.;</w:t>
      </w:r>
      <w:r w:rsidRPr="001E6232">
        <w:rPr>
          <w:szCs w:val="24"/>
          <w:lang w:val="en-US"/>
        </w:rPr>
        <w:t xml:space="preserve"> FOSTIER</w:t>
      </w:r>
      <w:r>
        <w:rPr>
          <w:szCs w:val="24"/>
          <w:lang w:val="en-US"/>
        </w:rPr>
        <w:t>,</w:t>
      </w:r>
      <w:r w:rsidR="00A132D6" w:rsidRPr="001E6232">
        <w:rPr>
          <w:szCs w:val="24"/>
          <w:lang w:val="en-US"/>
        </w:rPr>
        <w:t xml:space="preserve"> A. Successful production of </w:t>
      </w:r>
      <w:proofErr w:type="spellStart"/>
      <w:r w:rsidR="00A132D6" w:rsidRPr="001E6232">
        <w:rPr>
          <w:szCs w:val="24"/>
          <w:lang w:val="en-US"/>
        </w:rPr>
        <w:t>monosex</w:t>
      </w:r>
      <w:proofErr w:type="spellEnd"/>
      <w:r w:rsidR="00A132D6" w:rsidRPr="001E6232">
        <w:rPr>
          <w:szCs w:val="24"/>
          <w:lang w:val="en-US"/>
        </w:rPr>
        <w:t xml:space="preserve"> female brook trout </w:t>
      </w:r>
      <w:proofErr w:type="spellStart"/>
      <w:r w:rsidR="00A132D6" w:rsidRPr="001E6232">
        <w:rPr>
          <w:i/>
          <w:szCs w:val="24"/>
          <w:lang w:val="en-US"/>
        </w:rPr>
        <w:t>Salvelinus</w:t>
      </w:r>
      <w:proofErr w:type="spellEnd"/>
      <w:r w:rsidR="00A132D6" w:rsidRPr="001E6232">
        <w:rPr>
          <w:i/>
          <w:szCs w:val="24"/>
          <w:lang w:val="en-US"/>
        </w:rPr>
        <w:t xml:space="preserve"> </w:t>
      </w:r>
      <w:proofErr w:type="spellStart"/>
      <w:r w:rsidR="00A132D6" w:rsidRPr="001E6232">
        <w:rPr>
          <w:i/>
          <w:szCs w:val="24"/>
          <w:lang w:val="en-US"/>
        </w:rPr>
        <w:t>fontinalis</w:t>
      </w:r>
      <w:proofErr w:type="spellEnd"/>
      <w:r w:rsidR="00A132D6" w:rsidRPr="001E6232">
        <w:rPr>
          <w:szCs w:val="24"/>
          <w:lang w:val="en-US"/>
        </w:rPr>
        <w:t xml:space="preserve"> using </w:t>
      </w:r>
      <w:proofErr w:type="spellStart"/>
      <w:r w:rsidR="00A132D6" w:rsidRPr="001E6232">
        <w:rPr>
          <w:szCs w:val="24"/>
          <w:lang w:val="en-US"/>
        </w:rPr>
        <w:t>gynogenetic</w:t>
      </w:r>
      <w:proofErr w:type="spellEnd"/>
      <w:r w:rsidR="00A132D6" w:rsidRPr="001E6232">
        <w:rPr>
          <w:szCs w:val="24"/>
          <w:lang w:val="en-US"/>
        </w:rPr>
        <w:t xml:space="preserve"> sex reversed males by a combination of </w:t>
      </w:r>
      <w:proofErr w:type="spellStart"/>
      <w:r w:rsidR="00A132D6" w:rsidRPr="001E6232">
        <w:rPr>
          <w:szCs w:val="24"/>
          <w:lang w:val="en-US"/>
        </w:rPr>
        <w:t>methyltestosterone</w:t>
      </w:r>
      <w:proofErr w:type="spellEnd"/>
      <w:r w:rsidR="00A132D6" w:rsidRPr="001E6232">
        <w:rPr>
          <w:szCs w:val="24"/>
          <w:lang w:val="en-US"/>
        </w:rPr>
        <w:t xml:space="preserve"> immersion and oral treatments. </w:t>
      </w:r>
      <w:r w:rsidR="00A132D6" w:rsidRPr="006F540B">
        <w:rPr>
          <w:b/>
          <w:szCs w:val="24"/>
          <w:lang w:val="en-US"/>
        </w:rPr>
        <w:t>Aquaculture</w:t>
      </w:r>
      <w:r>
        <w:rPr>
          <w:szCs w:val="24"/>
          <w:lang w:val="en-US"/>
        </w:rPr>
        <w:t>,</w:t>
      </w:r>
      <w:r w:rsidR="00A132D6" w:rsidRPr="001E6232">
        <w:rPr>
          <w:szCs w:val="24"/>
          <w:lang w:val="en-US"/>
        </w:rPr>
        <w:t xml:space="preserve"> </w:t>
      </w:r>
      <w:r>
        <w:rPr>
          <w:szCs w:val="24"/>
          <w:lang w:val="en-US"/>
        </w:rPr>
        <w:t>v.290,</w:t>
      </w:r>
      <w:r w:rsidR="00A132D6" w:rsidRPr="001E6232">
        <w:rPr>
          <w:szCs w:val="24"/>
          <w:lang w:val="en-US"/>
        </w:rPr>
        <w:t xml:space="preserve"> </w:t>
      </w:r>
      <w:r>
        <w:rPr>
          <w:szCs w:val="24"/>
          <w:lang w:val="en-US"/>
        </w:rPr>
        <w:t>p.</w:t>
      </w:r>
      <w:r w:rsidR="00A132D6" w:rsidRPr="001E6232">
        <w:rPr>
          <w:szCs w:val="24"/>
          <w:lang w:val="en-US"/>
        </w:rPr>
        <w:t>47-52</w:t>
      </w:r>
      <w:r>
        <w:rPr>
          <w:szCs w:val="24"/>
          <w:lang w:val="en-US"/>
        </w:rPr>
        <w:t xml:space="preserve">, </w:t>
      </w:r>
      <w:r w:rsidRPr="001E6232">
        <w:rPr>
          <w:szCs w:val="24"/>
          <w:lang w:val="en-US"/>
        </w:rPr>
        <w:t>2009</w:t>
      </w:r>
      <w:r w:rsidR="00A132D6" w:rsidRPr="001E6232">
        <w:rPr>
          <w:szCs w:val="24"/>
          <w:lang w:val="en-US"/>
        </w:rPr>
        <w:t>.</w:t>
      </w:r>
    </w:p>
    <w:p w:rsidR="00A132D6" w:rsidRPr="001E6232" w:rsidRDefault="006F540B" w:rsidP="004412C8">
      <w:pPr>
        <w:spacing w:before="60" w:after="60" w:line="240" w:lineRule="auto"/>
        <w:jc w:val="both"/>
        <w:rPr>
          <w:szCs w:val="24"/>
          <w:lang w:val="en-US"/>
        </w:rPr>
      </w:pPr>
      <w:r w:rsidRPr="001E6232">
        <w:rPr>
          <w:szCs w:val="24"/>
          <w:lang w:val="en-US"/>
        </w:rPr>
        <w:t>KANG</w:t>
      </w:r>
      <w:r>
        <w:rPr>
          <w:szCs w:val="24"/>
          <w:lang w:val="en-US"/>
        </w:rPr>
        <w:t>,</w:t>
      </w:r>
      <w:r w:rsidRPr="001E6232">
        <w:rPr>
          <w:szCs w:val="24"/>
          <w:lang w:val="en-US"/>
        </w:rPr>
        <w:t xml:space="preserve"> I</w:t>
      </w:r>
      <w:r>
        <w:rPr>
          <w:szCs w:val="24"/>
          <w:lang w:val="en-US"/>
        </w:rPr>
        <w:t>.</w:t>
      </w:r>
      <w:r w:rsidRPr="001E6232">
        <w:rPr>
          <w:szCs w:val="24"/>
          <w:lang w:val="en-US"/>
        </w:rPr>
        <w:t>J</w:t>
      </w:r>
      <w:r>
        <w:rPr>
          <w:szCs w:val="24"/>
          <w:lang w:val="en-US"/>
        </w:rPr>
        <w:t>.;</w:t>
      </w:r>
      <w:r w:rsidRPr="001E6232">
        <w:rPr>
          <w:szCs w:val="24"/>
          <w:lang w:val="en-US"/>
        </w:rPr>
        <w:t xml:space="preserve"> YOKOTA</w:t>
      </w:r>
      <w:r>
        <w:rPr>
          <w:szCs w:val="24"/>
          <w:lang w:val="en-US"/>
        </w:rPr>
        <w:t>,</w:t>
      </w:r>
      <w:r w:rsidRPr="001E6232">
        <w:rPr>
          <w:szCs w:val="24"/>
          <w:lang w:val="en-US"/>
        </w:rPr>
        <w:t xml:space="preserve"> H</w:t>
      </w:r>
      <w:r>
        <w:rPr>
          <w:szCs w:val="24"/>
          <w:lang w:val="en-US"/>
        </w:rPr>
        <w:t>.;</w:t>
      </w:r>
      <w:r w:rsidRPr="001E6232">
        <w:rPr>
          <w:szCs w:val="24"/>
          <w:lang w:val="en-US"/>
        </w:rPr>
        <w:t xml:space="preserve"> OSHIMA</w:t>
      </w:r>
      <w:r>
        <w:rPr>
          <w:szCs w:val="24"/>
          <w:lang w:val="en-US"/>
        </w:rPr>
        <w:t>,</w:t>
      </w:r>
      <w:r w:rsidRPr="001E6232">
        <w:rPr>
          <w:szCs w:val="24"/>
          <w:lang w:val="en-US"/>
        </w:rPr>
        <w:t xml:space="preserve"> Y</w:t>
      </w:r>
      <w:r>
        <w:rPr>
          <w:szCs w:val="24"/>
          <w:lang w:val="en-US"/>
        </w:rPr>
        <w:t>.;</w:t>
      </w:r>
      <w:r w:rsidRPr="001E6232">
        <w:rPr>
          <w:szCs w:val="24"/>
          <w:lang w:val="en-US"/>
        </w:rPr>
        <w:t xml:space="preserve"> TSURUDA</w:t>
      </w:r>
      <w:r>
        <w:rPr>
          <w:szCs w:val="24"/>
          <w:lang w:val="en-US"/>
        </w:rPr>
        <w:t>,</w:t>
      </w:r>
      <w:r w:rsidRPr="001E6232">
        <w:rPr>
          <w:szCs w:val="24"/>
          <w:lang w:val="en-US"/>
        </w:rPr>
        <w:t xml:space="preserve"> Y</w:t>
      </w:r>
      <w:r>
        <w:rPr>
          <w:szCs w:val="24"/>
          <w:lang w:val="en-US"/>
        </w:rPr>
        <w:t>.;</w:t>
      </w:r>
      <w:r w:rsidRPr="001E6232">
        <w:rPr>
          <w:szCs w:val="24"/>
          <w:lang w:val="en-US"/>
        </w:rPr>
        <w:t xml:space="preserve"> SHIMASAKI</w:t>
      </w:r>
      <w:r>
        <w:rPr>
          <w:szCs w:val="24"/>
          <w:lang w:val="en-US"/>
        </w:rPr>
        <w:t>,</w:t>
      </w:r>
      <w:r w:rsidRPr="001E6232">
        <w:rPr>
          <w:szCs w:val="24"/>
          <w:lang w:val="en-US"/>
        </w:rPr>
        <w:t xml:space="preserve"> Y</w:t>
      </w:r>
      <w:r>
        <w:rPr>
          <w:szCs w:val="24"/>
          <w:lang w:val="en-US"/>
        </w:rPr>
        <w:t>.;</w:t>
      </w:r>
      <w:r w:rsidRPr="001E6232">
        <w:rPr>
          <w:szCs w:val="24"/>
          <w:lang w:val="en-US"/>
        </w:rPr>
        <w:t xml:space="preserve"> HONJO</w:t>
      </w:r>
      <w:r>
        <w:rPr>
          <w:szCs w:val="24"/>
          <w:lang w:val="en-US"/>
        </w:rPr>
        <w:t>,</w:t>
      </w:r>
      <w:r w:rsidRPr="001E6232">
        <w:rPr>
          <w:szCs w:val="24"/>
          <w:lang w:val="en-US"/>
        </w:rPr>
        <w:t xml:space="preserve"> T</w:t>
      </w:r>
      <w:r w:rsidR="00A132D6" w:rsidRPr="001E6232">
        <w:rPr>
          <w:szCs w:val="24"/>
          <w:lang w:val="en-US"/>
        </w:rPr>
        <w:t xml:space="preserve">. The effects of </w:t>
      </w:r>
      <w:proofErr w:type="spellStart"/>
      <w:r w:rsidR="00A132D6" w:rsidRPr="001E6232">
        <w:rPr>
          <w:szCs w:val="24"/>
          <w:lang w:val="en-US"/>
        </w:rPr>
        <w:t>methyltestosterone</w:t>
      </w:r>
      <w:proofErr w:type="spellEnd"/>
      <w:r w:rsidR="00A132D6" w:rsidRPr="001E6232">
        <w:rPr>
          <w:szCs w:val="24"/>
          <w:lang w:val="en-US"/>
        </w:rPr>
        <w:t xml:space="preserve"> on the sexual development and reproduction of adult </w:t>
      </w:r>
      <w:proofErr w:type="spellStart"/>
      <w:r w:rsidR="00A132D6" w:rsidRPr="001E6232">
        <w:rPr>
          <w:szCs w:val="24"/>
          <w:lang w:val="en-US"/>
        </w:rPr>
        <w:t>medaka</w:t>
      </w:r>
      <w:proofErr w:type="spellEnd"/>
      <w:r w:rsidR="00A132D6" w:rsidRPr="001E6232">
        <w:rPr>
          <w:szCs w:val="24"/>
          <w:lang w:val="en-US"/>
        </w:rPr>
        <w:t xml:space="preserve"> (</w:t>
      </w:r>
      <w:proofErr w:type="spellStart"/>
      <w:r w:rsidR="00A132D6" w:rsidRPr="001E6232">
        <w:rPr>
          <w:i/>
          <w:szCs w:val="24"/>
          <w:lang w:val="en-US"/>
        </w:rPr>
        <w:t>Oryzias</w:t>
      </w:r>
      <w:proofErr w:type="spellEnd"/>
      <w:r w:rsidR="00A132D6" w:rsidRPr="001E6232">
        <w:rPr>
          <w:szCs w:val="24"/>
          <w:lang w:val="en-US"/>
        </w:rPr>
        <w:t xml:space="preserve"> </w:t>
      </w:r>
      <w:proofErr w:type="spellStart"/>
      <w:r w:rsidR="00A132D6" w:rsidRPr="001E6232">
        <w:rPr>
          <w:i/>
          <w:szCs w:val="24"/>
          <w:lang w:val="en-US"/>
        </w:rPr>
        <w:t>latipes</w:t>
      </w:r>
      <w:proofErr w:type="spellEnd"/>
      <w:r w:rsidR="00A132D6" w:rsidRPr="001E6232">
        <w:rPr>
          <w:szCs w:val="24"/>
          <w:lang w:val="en-US"/>
        </w:rPr>
        <w:t xml:space="preserve">). </w:t>
      </w:r>
      <w:proofErr w:type="spellStart"/>
      <w:r w:rsidR="00A132D6" w:rsidRPr="00823FC4">
        <w:rPr>
          <w:b/>
          <w:szCs w:val="24"/>
          <w:lang w:val="en-US"/>
        </w:rPr>
        <w:t>Aquat</w:t>
      </w:r>
      <w:proofErr w:type="spellEnd"/>
      <w:r w:rsidR="00A132D6" w:rsidRPr="00823FC4">
        <w:rPr>
          <w:b/>
          <w:szCs w:val="24"/>
          <w:lang w:val="en-US"/>
        </w:rPr>
        <w:t xml:space="preserve"> </w:t>
      </w:r>
      <w:proofErr w:type="spellStart"/>
      <w:r w:rsidR="00A132D6" w:rsidRPr="00823FC4">
        <w:rPr>
          <w:b/>
          <w:szCs w:val="24"/>
          <w:lang w:val="en-US"/>
        </w:rPr>
        <w:t>Toxicol</w:t>
      </w:r>
      <w:proofErr w:type="spellEnd"/>
      <w:r w:rsidR="00823FC4">
        <w:rPr>
          <w:szCs w:val="24"/>
          <w:lang w:val="en-US"/>
        </w:rPr>
        <w:t>, v.</w:t>
      </w:r>
      <w:r w:rsidR="00A132D6" w:rsidRPr="001E6232">
        <w:rPr>
          <w:szCs w:val="24"/>
          <w:lang w:val="en-US"/>
        </w:rPr>
        <w:t>87</w:t>
      </w:r>
      <w:r w:rsidR="00823FC4">
        <w:rPr>
          <w:szCs w:val="24"/>
          <w:lang w:val="en-US"/>
        </w:rPr>
        <w:t>,</w:t>
      </w:r>
      <w:r w:rsidR="00A132D6" w:rsidRPr="001E6232">
        <w:rPr>
          <w:szCs w:val="24"/>
          <w:lang w:val="en-US"/>
        </w:rPr>
        <w:t xml:space="preserve"> </w:t>
      </w:r>
      <w:r w:rsidR="00823FC4">
        <w:rPr>
          <w:szCs w:val="24"/>
          <w:lang w:val="en-US"/>
        </w:rPr>
        <w:t>p.</w:t>
      </w:r>
      <w:r w:rsidR="00A132D6" w:rsidRPr="001E6232">
        <w:rPr>
          <w:szCs w:val="24"/>
          <w:lang w:val="en-US"/>
        </w:rPr>
        <w:t>37-46</w:t>
      </w:r>
      <w:r w:rsidR="00823FC4">
        <w:rPr>
          <w:szCs w:val="24"/>
          <w:lang w:val="en-US"/>
        </w:rPr>
        <w:t xml:space="preserve">, </w:t>
      </w:r>
      <w:r w:rsidR="00823FC4" w:rsidRPr="001E6232">
        <w:rPr>
          <w:szCs w:val="24"/>
          <w:lang w:val="en-US"/>
        </w:rPr>
        <w:t>2008</w:t>
      </w:r>
      <w:r w:rsidR="00A132D6" w:rsidRPr="001E6232">
        <w:rPr>
          <w:szCs w:val="24"/>
          <w:lang w:val="en-US"/>
        </w:rPr>
        <w:t>.</w:t>
      </w:r>
    </w:p>
    <w:p w:rsidR="00A132D6" w:rsidRPr="001E6232" w:rsidRDefault="00823FC4" w:rsidP="004412C8">
      <w:pPr>
        <w:spacing w:before="60" w:after="60" w:line="240" w:lineRule="auto"/>
        <w:jc w:val="both"/>
        <w:rPr>
          <w:szCs w:val="24"/>
          <w:lang w:val="en-US"/>
        </w:rPr>
      </w:pPr>
      <w:r w:rsidRPr="001E6232">
        <w:rPr>
          <w:szCs w:val="24"/>
          <w:lang w:val="en-US"/>
        </w:rPr>
        <w:t>MAZZONI</w:t>
      </w:r>
      <w:r>
        <w:rPr>
          <w:szCs w:val="24"/>
          <w:lang w:val="en-US"/>
        </w:rPr>
        <w:t>,</w:t>
      </w:r>
      <w:r w:rsidRPr="001E6232">
        <w:rPr>
          <w:szCs w:val="24"/>
          <w:lang w:val="en-US"/>
        </w:rPr>
        <w:t xml:space="preserve"> T</w:t>
      </w:r>
      <w:r>
        <w:rPr>
          <w:szCs w:val="24"/>
          <w:lang w:val="en-US"/>
        </w:rPr>
        <w:t>.</w:t>
      </w:r>
      <w:r w:rsidRPr="001E6232">
        <w:rPr>
          <w:szCs w:val="24"/>
          <w:lang w:val="en-US"/>
        </w:rPr>
        <w:t>S</w:t>
      </w:r>
      <w:r>
        <w:rPr>
          <w:szCs w:val="24"/>
          <w:lang w:val="en-US"/>
        </w:rPr>
        <w:t>.;</w:t>
      </w:r>
      <w:r w:rsidRPr="001E6232">
        <w:rPr>
          <w:szCs w:val="24"/>
          <w:lang w:val="en-US"/>
        </w:rPr>
        <w:t xml:space="preserve"> GRIER</w:t>
      </w:r>
      <w:r>
        <w:rPr>
          <w:szCs w:val="24"/>
          <w:lang w:val="en-US"/>
        </w:rPr>
        <w:t>,</w:t>
      </w:r>
      <w:r w:rsidRPr="001E6232">
        <w:rPr>
          <w:szCs w:val="24"/>
          <w:lang w:val="en-US"/>
        </w:rPr>
        <w:t xml:space="preserve"> H</w:t>
      </w:r>
      <w:r>
        <w:rPr>
          <w:szCs w:val="24"/>
          <w:lang w:val="en-US"/>
        </w:rPr>
        <w:t>.</w:t>
      </w:r>
      <w:r w:rsidRPr="001E6232">
        <w:rPr>
          <w:szCs w:val="24"/>
          <w:lang w:val="en-US"/>
        </w:rPr>
        <w:t>J</w:t>
      </w:r>
      <w:r>
        <w:rPr>
          <w:szCs w:val="24"/>
          <w:lang w:val="en-US"/>
        </w:rPr>
        <w:t>.;</w:t>
      </w:r>
      <w:r w:rsidRPr="001E6232">
        <w:rPr>
          <w:szCs w:val="24"/>
          <w:lang w:val="en-US"/>
        </w:rPr>
        <w:t xml:space="preserve"> QUAGIO-GRASSIOTTO</w:t>
      </w:r>
      <w:r>
        <w:rPr>
          <w:szCs w:val="24"/>
          <w:lang w:val="en-US"/>
        </w:rPr>
        <w:t>,</w:t>
      </w:r>
      <w:r w:rsidR="00A132D6" w:rsidRPr="001E6232">
        <w:rPr>
          <w:szCs w:val="24"/>
          <w:lang w:val="en-US"/>
        </w:rPr>
        <w:t xml:space="preserve"> I. Germline cysts and the formation of the germinal epithelium during the female gonadal morphogenesis in </w:t>
      </w:r>
      <w:proofErr w:type="spellStart"/>
      <w:r w:rsidR="00A132D6" w:rsidRPr="001E6232">
        <w:rPr>
          <w:i/>
          <w:szCs w:val="24"/>
          <w:lang w:val="en-US"/>
        </w:rPr>
        <w:t>Cyprinus</w:t>
      </w:r>
      <w:proofErr w:type="spellEnd"/>
      <w:r w:rsidR="00A132D6" w:rsidRPr="001E6232">
        <w:rPr>
          <w:i/>
          <w:szCs w:val="24"/>
          <w:lang w:val="en-US"/>
        </w:rPr>
        <w:t xml:space="preserve"> </w:t>
      </w:r>
      <w:proofErr w:type="spellStart"/>
      <w:r w:rsidR="00A132D6" w:rsidRPr="001E6232">
        <w:rPr>
          <w:i/>
          <w:szCs w:val="24"/>
          <w:lang w:val="en-US"/>
        </w:rPr>
        <w:t>carpio</w:t>
      </w:r>
      <w:proofErr w:type="spellEnd"/>
      <w:r w:rsidR="00A132D6" w:rsidRPr="001E6232">
        <w:rPr>
          <w:szCs w:val="24"/>
          <w:lang w:val="en-US"/>
        </w:rPr>
        <w:t xml:space="preserve"> (</w:t>
      </w:r>
      <w:proofErr w:type="spellStart"/>
      <w:r w:rsidR="00A132D6" w:rsidRPr="001E6232">
        <w:rPr>
          <w:szCs w:val="24"/>
          <w:lang w:val="en-US"/>
        </w:rPr>
        <w:t>Teleostei</w:t>
      </w:r>
      <w:proofErr w:type="spellEnd"/>
      <w:r w:rsidR="00A132D6" w:rsidRPr="001E6232">
        <w:rPr>
          <w:szCs w:val="24"/>
          <w:lang w:val="en-US"/>
        </w:rPr>
        <w:t xml:space="preserve">: </w:t>
      </w:r>
      <w:proofErr w:type="spellStart"/>
      <w:r w:rsidR="00A132D6" w:rsidRPr="001E6232">
        <w:rPr>
          <w:szCs w:val="24"/>
          <w:lang w:val="en-US"/>
        </w:rPr>
        <w:t>Ostariophysi</w:t>
      </w:r>
      <w:proofErr w:type="spellEnd"/>
      <w:r w:rsidR="00A132D6" w:rsidRPr="001E6232">
        <w:rPr>
          <w:szCs w:val="24"/>
          <w:lang w:val="en-US"/>
        </w:rPr>
        <w:t xml:space="preserve">: </w:t>
      </w:r>
      <w:proofErr w:type="spellStart"/>
      <w:r w:rsidR="00A132D6" w:rsidRPr="001E6232">
        <w:rPr>
          <w:szCs w:val="24"/>
          <w:lang w:val="en-US"/>
        </w:rPr>
        <w:t>Cypriniformes</w:t>
      </w:r>
      <w:proofErr w:type="spellEnd"/>
      <w:r w:rsidR="00A132D6" w:rsidRPr="001E6232">
        <w:rPr>
          <w:szCs w:val="24"/>
          <w:lang w:val="en-US"/>
        </w:rPr>
        <w:t xml:space="preserve">). </w:t>
      </w:r>
      <w:proofErr w:type="spellStart"/>
      <w:r w:rsidR="00A132D6" w:rsidRPr="00823FC4">
        <w:rPr>
          <w:b/>
          <w:szCs w:val="24"/>
          <w:lang w:val="en-US"/>
        </w:rPr>
        <w:t>Anat</w:t>
      </w:r>
      <w:proofErr w:type="spellEnd"/>
      <w:r w:rsidR="00A132D6" w:rsidRPr="00823FC4">
        <w:rPr>
          <w:b/>
          <w:szCs w:val="24"/>
          <w:lang w:val="en-US"/>
        </w:rPr>
        <w:t xml:space="preserve"> Rec</w:t>
      </w:r>
      <w:r>
        <w:rPr>
          <w:szCs w:val="24"/>
          <w:lang w:val="en-US"/>
        </w:rPr>
        <w:t>,</w:t>
      </w:r>
      <w:r w:rsidR="00A132D6" w:rsidRPr="001E6232">
        <w:rPr>
          <w:szCs w:val="24"/>
          <w:lang w:val="en-US"/>
        </w:rPr>
        <w:t xml:space="preserve"> </w:t>
      </w:r>
      <w:r>
        <w:rPr>
          <w:szCs w:val="24"/>
          <w:lang w:val="en-US"/>
        </w:rPr>
        <w:t>v.293,</w:t>
      </w:r>
      <w:r w:rsidR="00A132D6" w:rsidRPr="001E6232">
        <w:rPr>
          <w:szCs w:val="24"/>
          <w:lang w:val="en-US"/>
        </w:rPr>
        <w:t xml:space="preserve"> </w:t>
      </w:r>
      <w:r>
        <w:rPr>
          <w:szCs w:val="24"/>
          <w:lang w:val="en-US"/>
        </w:rPr>
        <w:t>p.</w:t>
      </w:r>
      <w:r w:rsidR="00A132D6" w:rsidRPr="001E6232">
        <w:rPr>
          <w:szCs w:val="24"/>
          <w:lang w:val="en-US"/>
        </w:rPr>
        <w:t>1581-1606</w:t>
      </w:r>
      <w:r>
        <w:rPr>
          <w:szCs w:val="24"/>
          <w:lang w:val="en-US"/>
        </w:rPr>
        <w:t xml:space="preserve">, </w:t>
      </w:r>
      <w:r w:rsidRPr="001E6232">
        <w:rPr>
          <w:szCs w:val="24"/>
          <w:lang w:val="en-US"/>
        </w:rPr>
        <w:t>2010</w:t>
      </w:r>
      <w:r w:rsidR="00A132D6" w:rsidRPr="001E6232">
        <w:rPr>
          <w:szCs w:val="24"/>
          <w:lang w:val="en-US"/>
        </w:rPr>
        <w:t>.</w:t>
      </w:r>
    </w:p>
    <w:p w:rsidR="00A132D6" w:rsidRPr="001E6232" w:rsidRDefault="00823FC4" w:rsidP="004412C8">
      <w:pPr>
        <w:spacing w:before="60" w:after="60" w:line="240" w:lineRule="auto"/>
        <w:jc w:val="both"/>
        <w:rPr>
          <w:szCs w:val="24"/>
          <w:lang w:val="en-US"/>
        </w:rPr>
      </w:pPr>
      <w:r w:rsidRPr="001E6232">
        <w:rPr>
          <w:szCs w:val="24"/>
          <w:lang w:val="en-US"/>
        </w:rPr>
        <w:t>PANDIAN</w:t>
      </w:r>
      <w:r>
        <w:rPr>
          <w:szCs w:val="24"/>
          <w:lang w:val="en-US"/>
        </w:rPr>
        <w:t>,</w:t>
      </w:r>
      <w:r w:rsidR="00A132D6" w:rsidRPr="001E6232">
        <w:rPr>
          <w:szCs w:val="24"/>
          <w:lang w:val="en-US"/>
        </w:rPr>
        <w:t xml:space="preserve"> T</w:t>
      </w:r>
      <w:r>
        <w:rPr>
          <w:szCs w:val="24"/>
          <w:lang w:val="en-US"/>
        </w:rPr>
        <w:t>.</w:t>
      </w:r>
      <w:r w:rsidR="00A132D6" w:rsidRPr="001E6232">
        <w:rPr>
          <w:szCs w:val="24"/>
          <w:lang w:val="en-US"/>
        </w:rPr>
        <w:t>J</w:t>
      </w:r>
      <w:r>
        <w:rPr>
          <w:szCs w:val="24"/>
          <w:lang w:val="en-US"/>
        </w:rPr>
        <w:t>.</w:t>
      </w:r>
      <w:r w:rsidR="00967FB8">
        <w:rPr>
          <w:szCs w:val="24"/>
          <w:lang w:val="en-US"/>
        </w:rPr>
        <w:t>;</w:t>
      </w:r>
      <w:r w:rsidR="00A132D6" w:rsidRPr="001E6232">
        <w:rPr>
          <w:szCs w:val="24"/>
          <w:lang w:val="en-US"/>
        </w:rPr>
        <w:t xml:space="preserve"> </w:t>
      </w:r>
      <w:r w:rsidR="00967FB8" w:rsidRPr="001E6232">
        <w:rPr>
          <w:szCs w:val="24"/>
          <w:lang w:val="en-US"/>
        </w:rPr>
        <w:t>SHEELA</w:t>
      </w:r>
      <w:r w:rsidR="00967FB8">
        <w:rPr>
          <w:szCs w:val="24"/>
          <w:lang w:val="en-US"/>
        </w:rPr>
        <w:t>,</w:t>
      </w:r>
      <w:r w:rsidR="00A132D6" w:rsidRPr="001E6232">
        <w:rPr>
          <w:szCs w:val="24"/>
          <w:lang w:val="en-US"/>
        </w:rPr>
        <w:t xml:space="preserve"> S</w:t>
      </w:r>
      <w:r w:rsidR="00967FB8">
        <w:rPr>
          <w:szCs w:val="24"/>
          <w:lang w:val="en-US"/>
        </w:rPr>
        <w:t>.</w:t>
      </w:r>
      <w:r w:rsidR="00A132D6" w:rsidRPr="001E6232">
        <w:rPr>
          <w:szCs w:val="24"/>
          <w:lang w:val="en-US"/>
        </w:rPr>
        <w:t xml:space="preserve">G. Hormonal induction of sex reversal in fish. </w:t>
      </w:r>
      <w:r w:rsidR="00A132D6" w:rsidRPr="00967FB8">
        <w:rPr>
          <w:b/>
          <w:szCs w:val="24"/>
          <w:lang w:val="en-US"/>
        </w:rPr>
        <w:t>Aquaculture</w:t>
      </w:r>
      <w:r w:rsidR="00967FB8">
        <w:rPr>
          <w:szCs w:val="24"/>
          <w:lang w:val="en-US"/>
        </w:rPr>
        <w:t>,</w:t>
      </w:r>
      <w:r w:rsidR="00A132D6" w:rsidRPr="001E6232">
        <w:rPr>
          <w:szCs w:val="24"/>
          <w:lang w:val="en-US"/>
        </w:rPr>
        <w:t xml:space="preserve"> </w:t>
      </w:r>
      <w:r w:rsidR="00967FB8">
        <w:rPr>
          <w:szCs w:val="24"/>
          <w:lang w:val="en-US"/>
        </w:rPr>
        <w:t>v.</w:t>
      </w:r>
      <w:r w:rsidR="00A132D6" w:rsidRPr="001E6232">
        <w:rPr>
          <w:szCs w:val="24"/>
          <w:lang w:val="en-US"/>
        </w:rPr>
        <w:t>138</w:t>
      </w:r>
      <w:r w:rsidR="00967FB8">
        <w:rPr>
          <w:szCs w:val="24"/>
          <w:lang w:val="en-US"/>
        </w:rPr>
        <w:t>,</w:t>
      </w:r>
      <w:r w:rsidR="00A132D6" w:rsidRPr="001E6232">
        <w:rPr>
          <w:szCs w:val="24"/>
          <w:lang w:val="en-US"/>
        </w:rPr>
        <w:t xml:space="preserve"> </w:t>
      </w:r>
      <w:r w:rsidR="00967FB8">
        <w:rPr>
          <w:szCs w:val="24"/>
          <w:lang w:val="en-US"/>
        </w:rPr>
        <w:t>p.</w:t>
      </w:r>
      <w:r w:rsidR="00A132D6" w:rsidRPr="001E6232">
        <w:rPr>
          <w:szCs w:val="24"/>
          <w:lang w:val="en-US"/>
        </w:rPr>
        <w:t>1-22</w:t>
      </w:r>
      <w:r w:rsidR="00967FB8">
        <w:rPr>
          <w:szCs w:val="24"/>
          <w:lang w:val="en-US"/>
        </w:rPr>
        <w:t xml:space="preserve">, </w:t>
      </w:r>
      <w:r w:rsidR="00967FB8" w:rsidRPr="001E6232">
        <w:rPr>
          <w:szCs w:val="24"/>
          <w:lang w:val="en-US"/>
        </w:rPr>
        <w:t>1995</w:t>
      </w:r>
      <w:r w:rsidR="00A132D6" w:rsidRPr="001E6232">
        <w:rPr>
          <w:szCs w:val="24"/>
          <w:lang w:val="en-US"/>
        </w:rPr>
        <w:t>.</w:t>
      </w:r>
    </w:p>
    <w:p w:rsidR="00A132D6" w:rsidRPr="001E6232" w:rsidRDefault="00967FB8" w:rsidP="004412C8">
      <w:pPr>
        <w:spacing w:before="60" w:after="60" w:line="240" w:lineRule="auto"/>
        <w:jc w:val="both"/>
        <w:rPr>
          <w:szCs w:val="24"/>
          <w:lang w:val="en-US"/>
        </w:rPr>
      </w:pPr>
      <w:r w:rsidRPr="001E6232">
        <w:rPr>
          <w:szCs w:val="24"/>
          <w:lang w:val="en-US"/>
        </w:rPr>
        <w:t>PANDIAN</w:t>
      </w:r>
      <w:r>
        <w:rPr>
          <w:szCs w:val="24"/>
          <w:lang w:val="en-US"/>
        </w:rPr>
        <w:t>,</w:t>
      </w:r>
      <w:r w:rsidR="00A132D6" w:rsidRPr="001E6232">
        <w:rPr>
          <w:szCs w:val="24"/>
          <w:lang w:val="en-US"/>
        </w:rPr>
        <w:t xml:space="preserve"> T</w:t>
      </w:r>
      <w:r>
        <w:rPr>
          <w:szCs w:val="24"/>
          <w:lang w:val="en-US"/>
        </w:rPr>
        <w:t>.</w:t>
      </w:r>
      <w:r w:rsidR="00A132D6" w:rsidRPr="001E6232">
        <w:rPr>
          <w:szCs w:val="24"/>
          <w:lang w:val="en-US"/>
        </w:rPr>
        <w:t xml:space="preserve">J. Sex Reversal. In </w:t>
      </w:r>
      <w:r w:rsidRPr="001E6232">
        <w:rPr>
          <w:szCs w:val="24"/>
          <w:lang w:val="en-US"/>
        </w:rPr>
        <w:t>PANDIAN</w:t>
      </w:r>
      <w:r>
        <w:rPr>
          <w:szCs w:val="24"/>
          <w:lang w:val="en-US"/>
        </w:rPr>
        <w:t>,</w:t>
      </w:r>
      <w:r w:rsidR="00A132D6" w:rsidRPr="001E6232">
        <w:rPr>
          <w:szCs w:val="24"/>
          <w:lang w:val="en-US"/>
        </w:rPr>
        <w:t xml:space="preserve"> T</w:t>
      </w:r>
      <w:r>
        <w:rPr>
          <w:szCs w:val="24"/>
          <w:lang w:val="en-US"/>
        </w:rPr>
        <w:t>.</w:t>
      </w:r>
      <w:r w:rsidR="00A132D6" w:rsidRPr="001E6232">
        <w:rPr>
          <w:szCs w:val="24"/>
          <w:lang w:val="en-US"/>
        </w:rPr>
        <w:t>J</w:t>
      </w:r>
      <w:r>
        <w:rPr>
          <w:szCs w:val="24"/>
          <w:lang w:val="en-US"/>
        </w:rPr>
        <w:t>.</w:t>
      </w:r>
      <w:r w:rsidR="00A132D6" w:rsidRPr="001E6232">
        <w:rPr>
          <w:szCs w:val="24"/>
          <w:lang w:val="en-US"/>
        </w:rPr>
        <w:t xml:space="preserve">, editor. Endocrine sex differentiation in fish. Florida: CRC Press; 2013. </w:t>
      </w:r>
      <w:proofErr w:type="gramStart"/>
      <w:r w:rsidR="00A132D6" w:rsidRPr="001E6232">
        <w:rPr>
          <w:szCs w:val="24"/>
          <w:lang w:val="en-US"/>
        </w:rPr>
        <w:t>p.175-212</w:t>
      </w:r>
      <w:proofErr w:type="gramEnd"/>
      <w:r w:rsidR="00A132D6" w:rsidRPr="001E6232">
        <w:rPr>
          <w:szCs w:val="24"/>
          <w:lang w:val="en-US"/>
        </w:rPr>
        <w:t>.</w:t>
      </w:r>
    </w:p>
    <w:p w:rsidR="00A132D6" w:rsidRPr="001E6232" w:rsidRDefault="00967FB8" w:rsidP="004412C8">
      <w:pPr>
        <w:spacing w:before="60" w:after="60" w:line="240" w:lineRule="auto"/>
        <w:jc w:val="both"/>
        <w:rPr>
          <w:szCs w:val="24"/>
          <w:lang w:val="en-US"/>
        </w:rPr>
      </w:pPr>
      <w:r w:rsidRPr="001E6232">
        <w:rPr>
          <w:szCs w:val="24"/>
          <w:lang w:val="en-US"/>
        </w:rPr>
        <w:t>PARK</w:t>
      </w:r>
      <w:r>
        <w:rPr>
          <w:szCs w:val="24"/>
          <w:lang w:val="en-US"/>
        </w:rPr>
        <w:t>,</w:t>
      </w:r>
      <w:r w:rsidRPr="001E6232">
        <w:rPr>
          <w:szCs w:val="24"/>
          <w:lang w:val="en-US"/>
        </w:rPr>
        <w:t xml:space="preserve"> I</w:t>
      </w:r>
      <w:r>
        <w:rPr>
          <w:szCs w:val="24"/>
          <w:lang w:val="en-US"/>
        </w:rPr>
        <w:t>.</w:t>
      </w:r>
      <w:r w:rsidRPr="001E6232">
        <w:rPr>
          <w:szCs w:val="24"/>
          <w:lang w:val="en-US"/>
        </w:rPr>
        <w:t>S</w:t>
      </w:r>
      <w:r>
        <w:rPr>
          <w:szCs w:val="24"/>
          <w:lang w:val="en-US"/>
        </w:rPr>
        <w:t>.;</w:t>
      </w:r>
      <w:r w:rsidRPr="001E6232">
        <w:rPr>
          <w:szCs w:val="24"/>
          <w:lang w:val="en-US"/>
        </w:rPr>
        <w:t xml:space="preserve"> KIM</w:t>
      </w:r>
      <w:r>
        <w:rPr>
          <w:szCs w:val="24"/>
          <w:lang w:val="en-US"/>
        </w:rPr>
        <w:t>,</w:t>
      </w:r>
      <w:r w:rsidRPr="001E6232">
        <w:rPr>
          <w:szCs w:val="24"/>
          <w:lang w:val="en-US"/>
        </w:rPr>
        <w:t xml:space="preserve"> J</w:t>
      </w:r>
      <w:r>
        <w:rPr>
          <w:szCs w:val="24"/>
          <w:lang w:val="en-US"/>
        </w:rPr>
        <w:t>.</w:t>
      </w:r>
      <w:r w:rsidRPr="001E6232">
        <w:rPr>
          <w:szCs w:val="24"/>
          <w:lang w:val="en-US"/>
        </w:rPr>
        <w:t>H</w:t>
      </w:r>
      <w:r>
        <w:rPr>
          <w:szCs w:val="24"/>
          <w:lang w:val="en-US"/>
        </w:rPr>
        <w:t>.;</w:t>
      </w:r>
      <w:r w:rsidRPr="001E6232">
        <w:rPr>
          <w:szCs w:val="24"/>
          <w:lang w:val="en-US"/>
        </w:rPr>
        <w:t xml:space="preserve"> CHO</w:t>
      </w:r>
      <w:r>
        <w:rPr>
          <w:szCs w:val="24"/>
          <w:lang w:val="en-US"/>
        </w:rPr>
        <w:t xml:space="preserve">, </w:t>
      </w:r>
      <w:r w:rsidRPr="001E6232">
        <w:rPr>
          <w:szCs w:val="24"/>
          <w:lang w:val="en-US"/>
        </w:rPr>
        <w:t>S</w:t>
      </w:r>
      <w:r>
        <w:rPr>
          <w:szCs w:val="24"/>
          <w:lang w:val="en-US"/>
        </w:rPr>
        <w:t>.</w:t>
      </w:r>
      <w:r w:rsidRPr="001E6232">
        <w:rPr>
          <w:szCs w:val="24"/>
          <w:lang w:val="en-US"/>
        </w:rPr>
        <w:t>H</w:t>
      </w:r>
      <w:r>
        <w:rPr>
          <w:szCs w:val="24"/>
          <w:lang w:val="en-US"/>
        </w:rPr>
        <w:t>.;</w:t>
      </w:r>
      <w:r w:rsidRPr="001E6232">
        <w:rPr>
          <w:szCs w:val="24"/>
          <w:lang w:val="en-US"/>
        </w:rPr>
        <w:t xml:space="preserve"> KIM</w:t>
      </w:r>
      <w:r>
        <w:rPr>
          <w:szCs w:val="24"/>
          <w:lang w:val="en-US"/>
        </w:rPr>
        <w:t>,</w:t>
      </w:r>
      <w:r w:rsidRPr="001E6232">
        <w:rPr>
          <w:szCs w:val="24"/>
          <w:lang w:val="en-US"/>
        </w:rPr>
        <w:t xml:space="preserve"> </w:t>
      </w:r>
      <w:r w:rsidR="00A132D6" w:rsidRPr="001E6232">
        <w:rPr>
          <w:szCs w:val="24"/>
          <w:lang w:val="en-US"/>
        </w:rPr>
        <w:t>D</w:t>
      </w:r>
      <w:r>
        <w:rPr>
          <w:szCs w:val="24"/>
          <w:lang w:val="en-US"/>
        </w:rPr>
        <w:t>.</w:t>
      </w:r>
      <w:r w:rsidR="00A132D6" w:rsidRPr="001E6232">
        <w:rPr>
          <w:szCs w:val="24"/>
          <w:lang w:val="en-US"/>
        </w:rPr>
        <w:t xml:space="preserve">S. Sex differentiation and hormonal sex reversal in the </w:t>
      </w:r>
      <w:proofErr w:type="spellStart"/>
      <w:r w:rsidR="00A132D6" w:rsidRPr="001E6232">
        <w:rPr>
          <w:szCs w:val="24"/>
          <w:lang w:val="en-US"/>
        </w:rPr>
        <w:t>bagrid</w:t>
      </w:r>
      <w:proofErr w:type="spellEnd"/>
      <w:r w:rsidR="00A132D6" w:rsidRPr="001E6232">
        <w:rPr>
          <w:szCs w:val="24"/>
          <w:lang w:val="en-US"/>
        </w:rPr>
        <w:t xml:space="preserve"> catfish </w:t>
      </w:r>
      <w:proofErr w:type="spellStart"/>
      <w:r w:rsidR="00A132D6" w:rsidRPr="001E6232">
        <w:rPr>
          <w:i/>
          <w:szCs w:val="24"/>
          <w:lang w:val="en-US"/>
        </w:rPr>
        <w:t>Pseudobagrus</w:t>
      </w:r>
      <w:proofErr w:type="spellEnd"/>
      <w:r w:rsidR="00A132D6" w:rsidRPr="001E6232">
        <w:rPr>
          <w:i/>
          <w:szCs w:val="24"/>
          <w:lang w:val="en-US"/>
        </w:rPr>
        <w:t xml:space="preserve"> </w:t>
      </w:r>
      <w:proofErr w:type="spellStart"/>
      <w:r w:rsidR="00A132D6" w:rsidRPr="001E6232">
        <w:rPr>
          <w:i/>
          <w:szCs w:val="24"/>
          <w:lang w:val="en-US"/>
        </w:rPr>
        <w:t>fulvidraco</w:t>
      </w:r>
      <w:proofErr w:type="spellEnd"/>
      <w:r w:rsidR="00A132D6" w:rsidRPr="001E6232">
        <w:rPr>
          <w:szCs w:val="24"/>
          <w:lang w:val="en-US"/>
        </w:rPr>
        <w:t xml:space="preserve"> (Richardson). </w:t>
      </w:r>
      <w:r w:rsidR="00A132D6" w:rsidRPr="00967FB8">
        <w:rPr>
          <w:b/>
          <w:szCs w:val="24"/>
          <w:lang w:val="en-US"/>
        </w:rPr>
        <w:t>Aquaculture</w:t>
      </w:r>
      <w:r>
        <w:rPr>
          <w:szCs w:val="24"/>
          <w:lang w:val="en-US"/>
        </w:rPr>
        <w:t>,</w:t>
      </w:r>
      <w:r w:rsidR="00A132D6" w:rsidRPr="001E6232">
        <w:rPr>
          <w:szCs w:val="24"/>
          <w:lang w:val="en-US"/>
        </w:rPr>
        <w:t xml:space="preserve"> </w:t>
      </w:r>
      <w:r>
        <w:rPr>
          <w:szCs w:val="24"/>
          <w:lang w:val="en-US"/>
        </w:rPr>
        <w:t>v.</w:t>
      </w:r>
      <w:r w:rsidR="00A132D6" w:rsidRPr="001E6232">
        <w:rPr>
          <w:szCs w:val="24"/>
          <w:lang w:val="en-US"/>
        </w:rPr>
        <w:t>232</w:t>
      </w:r>
      <w:r>
        <w:rPr>
          <w:szCs w:val="24"/>
          <w:lang w:val="en-US"/>
        </w:rPr>
        <w:t>,</w:t>
      </w:r>
      <w:r w:rsidR="00A132D6" w:rsidRPr="001E6232">
        <w:rPr>
          <w:szCs w:val="24"/>
          <w:lang w:val="en-US"/>
        </w:rPr>
        <w:t xml:space="preserve"> </w:t>
      </w:r>
      <w:r>
        <w:rPr>
          <w:szCs w:val="24"/>
          <w:lang w:val="en-US"/>
        </w:rPr>
        <w:t>p.</w:t>
      </w:r>
      <w:r w:rsidR="00A132D6" w:rsidRPr="001E6232">
        <w:rPr>
          <w:szCs w:val="24"/>
          <w:lang w:val="en-US"/>
        </w:rPr>
        <w:t>183-193</w:t>
      </w:r>
      <w:r>
        <w:rPr>
          <w:szCs w:val="24"/>
          <w:lang w:val="en-US"/>
        </w:rPr>
        <w:t xml:space="preserve">, </w:t>
      </w:r>
      <w:r w:rsidRPr="001E6232">
        <w:rPr>
          <w:szCs w:val="24"/>
          <w:lang w:val="en-US"/>
        </w:rPr>
        <w:t>2004</w:t>
      </w:r>
      <w:r w:rsidR="00A132D6" w:rsidRPr="001E6232">
        <w:rPr>
          <w:szCs w:val="24"/>
          <w:lang w:val="en-US"/>
        </w:rPr>
        <w:t>.</w:t>
      </w:r>
    </w:p>
    <w:p w:rsidR="00A132D6" w:rsidRPr="00967FB8" w:rsidRDefault="00967FB8" w:rsidP="004412C8">
      <w:pPr>
        <w:spacing w:before="60" w:after="60" w:line="240" w:lineRule="auto"/>
        <w:jc w:val="both"/>
        <w:rPr>
          <w:szCs w:val="24"/>
          <w:lang w:val="en-US"/>
        </w:rPr>
      </w:pPr>
      <w:r w:rsidRPr="001E6232">
        <w:rPr>
          <w:szCs w:val="24"/>
          <w:lang w:val="en-US"/>
        </w:rPr>
        <w:t>PIFERRER</w:t>
      </w:r>
      <w:r>
        <w:rPr>
          <w:szCs w:val="24"/>
          <w:lang w:val="en-US"/>
        </w:rPr>
        <w:t>,</w:t>
      </w:r>
      <w:r w:rsidR="00A132D6" w:rsidRPr="001E6232">
        <w:rPr>
          <w:szCs w:val="24"/>
          <w:lang w:val="en-US"/>
        </w:rPr>
        <w:t xml:space="preserve"> F. Endocrine sex control strategies for the </w:t>
      </w:r>
      <w:proofErr w:type="spellStart"/>
      <w:r w:rsidR="00A132D6" w:rsidRPr="001E6232">
        <w:rPr>
          <w:szCs w:val="24"/>
          <w:lang w:val="en-US"/>
        </w:rPr>
        <w:t>feminilization</w:t>
      </w:r>
      <w:proofErr w:type="spellEnd"/>
      <w:r w:rsidR="00A132D6" w:rsidRPr="001E6232">
        <w:rPr>
          <w:szCs w:val="24"/>
          <w:lang w:val="en-US"/>
        </w:rPr>
        <w:t xml:space="preserve"> of teleost fish. </w:t>
      </w:r>
      <w:r w:rsidR="00A132D6" w:rsidRPr="00967FB8">
        <w:rPr>
          <w:b/>
          <w:szCs w:val="24"/>
          <w:lang w:val="en-US"/>
        </w:rPr>
        <w:t>Aquaculture</w:t>
      </w:r>
      <w:r w:rsidRPr="00967FB8">
        <w:rPr>
          <w:szCs w:val="24"/>
          <w:lang w:val="en-US"/>
        </w:rPr>
        <w:t>,</w:t>
      </w:r>
      <w:r w:rsidR="00A132D6" w:rsidRPr="00967FB8">
        <w:rPr>
          <w:szCs w:val="24"/>
          <w:lang w:val="en-US"/>
        </w:rPr>
        <w:t xml:space="preserve"> </w:t>
      </w:r>
      <w:r w:rsidRPr="00967FB8">
        <w:rPr>
          <w:szCs w:val="24"/>
          <w:lang w:val="en-US"/>
        </w:rPr>
        <w:t>v.</w:t>
      </w:r>
      <w:r w:rsidR="00A132D6" w:rsidRPr="00967FB8">
        <w:rPr>
          <w:szCs w:val="24"/>
          <w:lang w:val="en-US"/>
        </w:rPr>
        <w:t>197</w:t>
      </w:r>
      <w:r w:rsidRPr="00967FB8">
        <w:rPr>
          <w:szCs w:val="24"/>
          <w:lang w:val="en-US"/>
        </w:rPr>
        <w:t>,</w:t>
      </w:r>
      <w:r w:rsidR="00A132D6" w:rsidRPr="00967FB8">
        <w:rPr>
          <w:szCs w:val="24"/>
          <w:lang w:val="en-US"/>
        </w:rPr>
        <w:t xml:space="preserve"> </w:t>
      </w:r>
      <w:r w:rsidRPr="00967FB8">
        <w:rPr>
          <w:szCs w:val="24"/>
          <w:lang w:val="en-US"/>
        </w:rPr>
        <w:t>p.</w:t>
      </w:r>
      <w:r w:rsidR="00A132D6" w:rsidRPr="00967FB8">
        <w:rPr>
          <w:szCs w:val="24"/>
          <w:lang w:val="en-US"/>
        </w:rPr>
        <w:t>229-281</w:t>
      </w:r>
      <w:r w:rsidRPr="00967FB8">
        <w:rPr>
          <w:szCs w:val="24"/>
          <w:lang w:val="en-US"/>
        </w:rPr>
        <w:t>, 2001</w:t>
      </w:r>
      <w:r w:rsidR="00A132D6" w:rsidRPr="00967FB8">
        <w:rPr>
          <w:szCs w:val="24"/>
          <w:lang w:val="en-US"/>
        </w:rPr>
        <w:t>.</w:t>
      </w:r>
    </w:p>
    <w:p w:rsidR="00A132D6" w:rsidRPr="001E6232" w:rsidRDefault="00967FB8" w:rsidP="004412C8">
      <w:pPr>
        <w:spacing w:before="60" w:after="60" w:line="240" w:lineRule="auto"/>
        <w:jc w:val="both"/>
        <w:rPr>
          <w:szCs w:val="24"/>
          <w:lang w:val="en-US"/>
        </w:rPr>
      </w:pPr>
      <w:r w:rsidRPr="001E6232">
        <w:rPr>
          <w:szCs w:val="24"/>
          <w:lang w:val="en-US"/>
        </w:rPr>
        <w:t>SCHUTZ</w:t>
      </w:r>
      <w:r>
        <w:rPr>
          <w:szCs w:val="24"/>
          <w:lang w:val="en-US"/>
        </w:rPr>
        <w:t>,</w:t>
      </w:r>
      <w:r w:rsidRPr="001E6232">
        <w:rPr>
          <w:szCs w:val="24"/>
          <w:lang w:val="en-US"/>
        </w:rPr>
        <w:t xml:space="preserve"> J</w:t>
      </w:r>
      <w:r>
        <w:rPr>
          <w:szCs w:val="24"/>
          <w:lang w:val="en-US"/>
        </w:rPr>
        <w:t>.</w:t>
      </w:r>
      <w:r w:rsidRPr="001E6232">
        <w:rPr>
          <w:szCs w:val="24"/>
          <w:lang w:val="en-US"/>
        </w:rPr>
        <w:t>R</w:t>
      </w:r>
      <w:r>
        <w:rPr>
          <w:szCs w:val="24"/>
          <w:lang w:val="en-US"/>
        </w:rPr>
        <w:t>.;</w:t>
      </w:r>
      <w:r w:rsidRPr="001E6232">
        <w:rPr>
          <w:szCs w:val="24"/>
          <w:lang w:val="en-US"/>
        </w:rPr>
        <w:t xml:space="preserve"> HARRELL</w:t>
      </w:r>
      <w:r>
        <w:rPr>
          <w:szCs w:val="24"/>
          <w:lang w:val="en-US"/>
        </w:rPr>
        <w:t>,</w:t>
      </w:r>
      <w:r w:rsidRPr="001E6232">
        <w:rPr>
          <w:szCs w:val="24"/>
          <w:lang w:val="en-US"/>
        </w:rPr>
        <w:t xml:space="preserve"> R</w:t>
      </w:r>
      <w:r>
        <w:rPr>
          <w:szCs w:val="24"/>
          <w:lang w:val="en-US"/>
        </w:rPr>
        <w:t>.</w:t>
      </w:r>
      <w:r w:rsidR="00A132D6" w:rsidRPr="001E6232">
        <w:rPr>
          <w:szCs w:val="24"/>
          <w:lang w:val="en-US"/>
        </w:rPr>
        <w:t xml:space="preserve">M. Use of sex reversal in striped bass to create an all-male population. </w:t>
      </w:r>
      <w:r w:rsidR="00A132D6" w:rsidRPr="00967FB8">
        <w:rPr>
          <w:b/>
          <w:szCs w:val="24"/>
          <w:lang w:val="en-US"/>
        </w:rPr>
        <w:t xml:space="preserve">N Am J </w:t>
      </w:r>
      <w:proofErr w:type="spellStart"/>
      <w:r w:rsidR="00A132D6" w:rsidRPr="00967FB8">
        <w:rPr>
          <w:b/>
          <w:szCs w:val="24"/>
          <w:lang w:val="en-US"/>
        </w:rPr>
        <w:t>Aquac</w:t>
      </w:r>
      <w:proofErr w:type="spellEnd"/>
      <w:r>
        <w:rPr>
          <w:szCs w:val="24"/>
          <w:lang w:val="en-US"/>
        </w:rPr>
        <w:t>,</w:t>
      </w:r>
      <w:r w:rsidR="00A132D6" w:rsidRPr="001E6232">
        <w:rPr>
          <w:szCs w:val="24"/>
          <w:lang w:val="en-US"/>
        </w:rPr>
        <w:t xml:space="preserve"> </w:t>
      </w:r>
      <w:proofErr w:type="gramStart"/>
      <w:r>
        <w:rPr>
          <w:szCs w:val="24"/>
          <w:lang w:val="en-US"/>
        </w:rPr>
        <w:t>v.61</w:t>
      </w:r>
      <w:r w:rsidR="00A132D6" w:rsidRPr="001E6232">
        <w:rPr>
          <w:szCs w:val="24"/>
          <w:lang w:val="en-US"/>
        </w:rPr>
        <w:t>(</w:t>
      </w:r>
      <w:proofErr w:type="gramEnd"/>
      <w:r w:rsidR="00A132D6" w:rsidRPr="001E6232">
        <w:rPr>
          <w:szCs w:val="24"/>
          <w:lang w:val="en-US"/>
        </w:rPr>
        <w:t>2)</w:t>
      </w:r>
      <w:r>
        <w:rPr>
          <w:szCs w:val="24"/>
          <w:lang w:val="en-US"/>
        </w:rPr>
        <w:t>,</w:t>
      </w:r>
      <w:r w:rsidR="00A132D6" w:rsidRPr="001E6232">
        <w:rPr>
          <w:szCs w:val="24"/>
          <w:lang w:val="en-US"/>
        </w:rPr>
        <w:t xml:space="preserve"> </w:t>
      </w:r>
      <w:r>
        <w:rPr>
          <w:szCs w:val="24"/>
          <w:lang w:val="en-US"/>
        </w:rPr>
        <w:t>p.</w:t>
      </w:r>
      <w:r w:rsidR="00A132D6" w:rsidRPr="001E6232">
        <w:rPr>
          <w:szCs w:val="24"/>
          <w:lang w:val="en-US"/>
        </w:rPr>
        <w:t>97-106</w:t>
      </w:r>
      <w:r>
        <w:rPr>
          <w:szCs w:val="24"/>
          <w:lang w:val="en-US"/>
        </w:rPr>
        <w:t xml:space="preserve">, </w:t>
      </w:r>
      <w:r w:rsidRPr="001E6232">
        <w:rPr>
          <w:szCs w:val="24"/>
          <w:lang w:val="en-US"/>
        </w:rPr>
        <w:t>1999</w:t>
      </w:r>
      <w:r w:rsidR="00A132D6" w:rsidRPr="001E6232">
        <w:rPr>
          <w:szCs w:val="24"/>
          <w:lang w:val="en-US"/>
        </w:rPr>
        <w:t>.</w:t>
      </w:r>
    </w:p>
    <w:p w:rsidR="00A132D6" w:rsidRPr="00967FB8" w:rsidRDefault="00967FB8" w:rsidP="004412C8">
      <w:pPr>
        <w:spacing w:before="60" w:after="60" w:line="240" w:lineRule="auto"/>
        <w:jc w:val="both"/>
        <w:rPr>
          <w:szCs w:val="24"/>
          <w:lang w:val="en-US"/>
        </w:rPr>
      </w:pPr>
      <w:r w:rsidRPr="001E6232">
        <w:rPr>
          <w:szCs w:val="24"/>
          <w:lang w:val="en-US"/>
        </w:rPr>
        <w:t>SHELTON</w:t>
      </w:r>
      <w:r>
        <w:rPr>
          <w:szCs w:val="24"/>
          <w:lang w:val="en-US"/>
        </w:rPr>
        <w:t>,</w:t>
      </w:r>
      <w:r w:rsidRPr="001E6232">
        <w:rPr>
          <w:szCs w:val="24"/>
          <w:lang w:val="en-US"/>
        </w:rPr>
        <w:t xml:space="preserve"> W</w:t>
      </w:r>
      <w:r>
        <w:rPr>
          <w:szCs w:val="24"/>
          <w:lang w:val="en-US"/>
        </w:rPr>
        <w:t>.</w:t>
      </w:r>
      <w:r w:rsidRPr="001E6232">
        <w:rPr>
          <w:szCs w:val="24"/>
          <w:lang w:val="en-US"/>
        </w:rPr>
        <w:t>L</w:t>
      </w:r>
      <w:r>
        <w:rPr>
          <w:szCs w:val="24"/>
          <w:lang w:val="en-US"/>
        </w:rPr>
        <w:t>.;</w:t>
      </w:r>
      <w:r w:rsidRPr="001E6232">
        <w:rPr>
          <w:szCs w:val="24"/>
          <w:lang w:val="en-US"/>
        </w:rPr>
        <w:t xml:space="preserve"> RODRIGUES-GUERRERO</w:t>
      </w:r>
      <w:r>
        <w:rPr>
          <w:szCs w:val="24"/>
          <w:lang w:val="en-US"/>
        </w:rPr>
        <w:t>,</w:t>
      </w:r>
      <w:r w:rsidRPr="001E6232">
        <w:rPr>
          <w:szCs w:val="24"/>
          <w:lang w:val="en-US"/>
        </w:rPr>
        <w:t xml:space="preserve"> D</w:t>
      </w:r>
      <w:r>
        <w:rPr>
          <w:szCs w:val="24"/>
          <w:lang w:val="en-US"/>
        </w:rPr>
        <w:t>.;</w:t>
      </w:r>
      <w:r w:rsidRPr="001E6232">
        <w:rPr>
          <w:szCs w:val="24"/>
          <w:lang w:val="en-US"/>
        </w:rPr>
        <w:t xml:space="preserve"> LOPES-MACIAS</w:t>
      </w:r>
      <w:r>
        <w:rPr>
          <w:szCs w:val="24"/>
          <w:lang w:val="en-US"/>
        </w:rPr>
        <w:t>,</w:t>
      </w:r>
      <w:r w:rsidR="00A132D6" w:rsidRPr="001E6232">
        <w:rPr>
          <w:szCs w:val="24"/>
          <w:lang w:val="en-US"/>
        </w:rPr>
        <w:t xml:space="preserve"> J. Factors affecting androgen sex reversal of Tilapia </w:t>
      </w:r>
      <w:proofErr w:type="spellStart"/>
      <w:r w:rsidR="00A132D6" w:rsidRPr="001E6232">
        <w:rPr>
          <w:szCs w:val="24"/>
          <w:lang w:val="en-US"/>
        </w:rPr>
        <w:t>aurea</w:t>
      </w:r>
      <w:proofErr w:type="spellEnd"/>
      <w:r w:rsidR="00A132D6" w:rsidRPr="001E6232">
        <w:rPr>
          <w:szCs w:val="24"/>
          <w:lang w:val="en-US"/>
        </w:rPr>
        <w:t xml:space="preserve">. </w:t>
      </w:r>
      <w:r w:rsidR="00A132D6" w:rsidRPr="00967FB8">
        <w:rPr>
          <w:b/>
          <w:szCs w:val="24"/>
          <w:lang w:val="en-US"/>
        </w:rPr>
        <w:t>Aquaculture</w:t>
      </w:r>
      <w:r w:rsidRPr="00967FB8">
        <w:rPr>
          <w:szCs w:val="24"/>
          <w:lang w:val="en-US"/>
        </w:rPr>
        <w:t>,</w:t>
      </w:r>
      <w:r w:rsidR="00A132D6" w:rsidRPr="00967FB8">
        <w:rPr>
          <w:szCs w:val="24"/>
          <w:lang w:val="en-US"/>
        </w:rPr>
        <w:t xml:space="preserve"> </w:t>
      </w:r>
      <w:proofErr w:type="gramStart"/>
      <w:r w:rsidRPr="00967FB8">
        <w:rPr>
          <w:szCs w:val="24"/>
          <w:lang w:val="en-US"/>
        </w:rPr>
        <w:t>v.25</w:t>
      </w:r>
      <w:r w:rsidR="00A132D6" w:rsidRPr="00967FB8">
        <w:rPr>
          <w:szCs w:val="24"/>
          <w:lang w:val="en-US"/>
        </w:rPr>
        <w:t>(</w:t>
      </w:r>
      <w:proofErr w:type="gramEnd"/>
      <w:r w:rsidR="00A132D6" w:rsidRPr="00967FB8">
        <w:rPr>
          <w:szCs w:val="24"/>
          <w:lang w:val="en-US"/>
        </w:rPr>
        <w:t>1)</w:t>
      </w:r>
      <w:r w:rsidRPr="00967FB8">
        <w:rPr>
          <w:szCs w:val="24"/>
          <w:lang w:val="en-US"/>
        </w:rPr>
        <w:t>,</w:t>
      </w:r>
      <w:r w:rsidR="00A132D6" w:rsidRPr="00967FB8">
        <w:rPr>
          <w:szCs w:val="24"/>
          <w:lang w:val="en-US"/>
        </w:rPr>
        <w:t xml:space="preserve"> </w:t>
      </w:r>
      <w:r w:rsidRPr="00967FB8">
        <w:rPr>
          <w:szCs w:val="24"/>
          <w:lang w:val="en-US"/>
        </w:rPr>
        <w:t>p.</w:t>
      </w:r>
      <w:r w:rsidR="00A132D6" w:rsidRPr="00967FB8">
        <w:rPr>
          <w:szCs w:val="24"/>
          <w:lang w:val="en-US"/>
        </w:rPr>
        <w:t>59-65</w:t>
      </w:r>
      <w:r w:rsidRPr="00967FB8">
        <w:rPr>
          <w:szCs w:val="24"/>
          <w:lang w:val="en-US"/>
        </w:rPr>
        <w:t>, 1981</w:t>
      </w:r>
      <w:r w:rsidR="00A132D6" w:rsidRPr="00967FB8">
        <w:rPr>
          <w:szCs w:val="24"/>
          <w:lang w:val="en-US"/>
        </w:rPr>
        <w:t xml:space="preserve">. </w:t>
      </w:r>
    </w:p>
    <w:p w:rsidR="00A132D6" w:rsidRPr="001E6232" w:rsidRDefault="0049270C" w:rsidP="004412C8">
      <w:pPr>
        <w:spacing w:before="60" w:after="60" w:line="240" w:lineRule="auto"/>
        <w:jc w:val="both"/>
        <w:rPr>
          <w:szCs w:val="24"/>
        </w:rPr>
      </w:pPr>
      <w:r w:rsidRPr="001E6232">
        <w:rPr>
          <w:szCs w:val="24"/>
        </w:rPr>
        <w:lastRenderedPageBreak/>
        <w:t>SILVEIRA</w:t>
      </w:r>
      <w:r>
        <w:rPr>
          <w:szCs w:val="24"/>
        </w:rPr>
        <w:t>,</w:t>
      </w:r>
      <w:r w:rsidRPr="001E6232">
        <w:rPr>
          <w:szCs w:val="24"/>
        </w:rPr>
        <w:t xml:space="preserve"> F</w:t>
      </w:r>
      <w:r>
        <w:rPr>
          <w:szCs w:val="24"/>
        </w:rPr>
        <w:t>.</w:t>
      </w:r>
      <w:r w:rsidRPr="001E6232">
        <w:rPr>
          <w:szCs w:val="24"/>
        </w:rPr>
        <w:t>S</w:t>
      </w:r>
      <w:r>
        <w:rPr>
          <w:szCs w:val="24"/>
        </w:rPr>
        <w:t>.;</w:t>
      </w:r>
      <w:r w:rsidRPr="001E6232">
        <w:rPr>
          <w:szCs w:val="24"/>
        </w:rPr>
        <w:t xml:space="preserve"> SILVA</w:t>
      </w:r>
      <w:r>
        <w:rPr>
          <w:szCs w:val="24"/>
        </w:rPr>
        <w:t>,</w:t>
      </w:r>
      <w:r w:rsidRPr="001E6232">
        <w:rPr>
          <w:szCs w:val="24"/>
        </w:rPr>
        <w:t xml:space="preserve"> F</w:t>
      </w:r>
      <w:r>
        <w:rPr>
          <w:szCs w:val="24"/>
        </w:rPr>
        <w:t>.</w:t>
      </w:r>
      <w:r w:rsidRPr="001E6232">
        <w:rPr>
          <w:szCs w:val="24"/>
        </w:rPr>
        <w:t>M</w:t>
      </w:r>
      <w:r>
        <w:rPr>
          <w:szCs w:val="24"/>
        </w:rPr>
        <w:t>.;</w:t>
      </w:r>
      <w:r w:rsidRPr="001E6232">
        <w:rPr>
          <w:szCs w:val="24"/>
        </w:rPr>
        <w:t xml:space="preserve"> CASACA</w:t>
      </w:r>
      <w:r>
        <w:rPr>
          <w:szCs w:val="24"/>
        </w:rPr>
        <w:t>,</w:t>
      </w:r>
      <w:r w:rsidRPr="001E6232">
        <w:rPr>
          <w:szCs w:val="24"/>
        </w:rPr>
        <w:t xml:space="preserve"> J</w:t>
      </w:r>
      <w:r>
        <w:rPr>
          <w:szCs w:val="24"/>
        </w:rPr>
        <w:t>.</w:t>
      </w:r>
      <w:r w:rsidRPr="001E6232">
        <w:rPr>
          <w:szCs w:val="24"/>
        </w:rPr>
        <w:t>M</w:t>
      </w:r>
      <w:r w:rsidR="00A132D6" w:rsidRPr="001E6232">
        <w:rPr>
          <w:szCs w:val="24"/>
        </w:rPr>
        <w:t>. Desempenho catarinense na piscicultura de água doce 2014. Florianópolis: EPAGRI/CEDAP; 2014.</w:t>
      </w:r>
    </w:p>
    <w:p w:rsidR="00A132D6" w:rsidRPr="001E6232" w:rsidRDefault="0049270C" w:rsidP="004412C8">
      <w:pPr>
        <w:spacing w:before="60" w:after="60" w:line="240" w:lineRule="auto"/>
        <w:jc w:val="both"/>
        <w:rPr>
          <w:szCs w:val="24"/>
          <w:lang w:val="en-US"/>
        </w:rPr>
      </w:pPr>
      <w:r w:rsidRPr="001E6232">
        <w:rPr>
          <w:szCs w:val="24"/>
        </w:rPr>
        <w:t>SILVEIRA</w:t>
      </w:r>
      <w:r>
        <w:rPr>
          <w:szCs w:val="24"/>
        </w:rPr>
        <w:t>,</w:t>
      </w:r>
      <w:r w:rsidRPr="001E6232">
        <w:rPr>
          <w:szCs w:val="24"/>
        </w:rPr>
        <w:t xml:space="preserve"> J</w:t>
      </w:r>
      <w:r>
        <w:rPr>
          <w:szCs w:val="24"/>
        </w:rPr>
        <w:t>.;</w:t>
      </w:r>
      <w:r w:rsidRPr="001E6232">
        <w:rPr>
          <w:szCs w:val="24"/>
        </w:rPr>
        <w:t xml:space="preserve"> SILVA</w:t>
      </w:r>
      <w:r>
        <w:rPr>
          <w:szCs w:val="24"/>
        </w:rPr>
        <w:t>,</w:t>
      </w:r>
      <w:r w:rsidRPr="001E6232">
        <w:rPr>
          <w:szCs w:val="24"/>
        </w:rPr>
        <w:t xml:space="preserve"> C</w:t>
      </w:r>
      <w:r>
        <w:rPr>
          <w:szCs w:val="24"/>
        </w:rPr>
        <w:t>.</w:t>
      </w:r>
      <w:r w:rsidRPr="001E6232">
        <w:rPr>
          <w:szCs w:val="24"/>
        </w:rPr>
        <w:t>P</w:t>
      </w:r>
      <w:r>
        <w:rPr>
          <w:szCs w:val="24"/>
        </w:rPr>
        <w:t>.;</w:t>
      </w:r>
      <w:r w:rsidRPr="001E6232">
        <w:rPr>
          <w:szCs w:val="24"/>
        </w:rPr>
        <w:t xml:space="preserve"> CARGNIN-FERREIRA</w:t>
      </w:r>
      <w:r>
        <w:rPr>
          <w:szCs w:val="24"/>
        </w:rPr>
        <w:t>,</w:t>
      </w:r>
      <w:r w:rsidRPr="001E6232">
        <w:rPr>
          <w:szCs w:val="24"/>
        </w:rPr>
        <w:t xml:space="preserve"> E</w:t>
      </w:r>
      <w:r>
        <w:rPr>
          <w:szCs w:val="24"/>
        </w:rPr>
        <w:t>.;</w:t>
      </w:r>
      <w:r w:rsidRPr="001E6232">
        <w:rPr>
          <w:szCs w:val="24"/>
        </w:rPr>
        <w:t xml:space="preserve"> ALEXANDRE</w:t>
      </w:r>
      <w:r>
        <w:rPr>
          <w:szCs w:val="24"/>
        </w:rPr>
        <w:t>,</w:t>
      </w:r>
      <w:r w:rsidRPr="001E6232">
        <w:rPr>
          <w:szCs w:val="24"/>
        </w:rPr>
        <w:t xml:space="preserve"> D</w:t>
      </w:r>
      <w:r>
        <w:rPr>
          <w:szCs w:val="24"/>
        </w:rPr>
        <w:t>.;</w:t>
      </w:r>
      <w:r w:rsidRPr="001E6232">
        <w:rPr>
          <w:szCs w:val="24"/>
        </w:rPr>
        <w:t xml:space="preserve"> ELIAS</w:t>
      </w:r>
      <w:r>
        <w:rPr>
          <w:szCs w:val="24"/>
        </w:rPr>
        <w:t>,</w:t>
      </w:r>
      <w:r w:rsidRPr="001E6232">
        <w:rPr>
          <w:szCs w:val="24"/>
        </w:rPr>
        <w:t xml:space="preserve"> M</w:t>
      </w:r>
      <w:r>
        <w:rPr>
          <w:szCs w:val="24"/>
        </w:rPr>
        <w:t>.</w:t>
      </w:r>
      <w:r w:rsidRPr="001E6232">
        <w:rPr>
          <w:szCs w:val="24"/>
        </w:rPr>
        <w:t>A</w:t>
      </w:r>
      <w:r>
        <w:rPr>
          <w:szCs w:val="24"/>
        </w:rPr>
        <w:t>.;</w:t>
      </w:r>
      <w:r w:rsidRPr="001E6232">
        <w:rPr>
          <w:szCs w:val="24"/>
        </w:rPr>
        <w:t xml:space="preserve"> FRACALOSSI</w:t>
      </w:r>
      <w:r>
        <w:rPr>
          <w:szCs w:val="24"/>
        </w:rPr>
        <w:t>,</w:t>
      </w:r>
      <w:r w:rsidRPr="001E6232">
        <w:rPr>
          <w:szCs w:val="24"/>
        </w:rPr>
        <w:t xml:space="preserve"> </w:t>
      </w:r>
      <w:r w:rsidR="00A132D6" w:rsidRPr="001E6232">
        <w:rPr>
          <w:szCs w:val="24"/>
        </w:rPr>
        <w:t>D</w:t>
      </w:r>
      <w:r>
        <w:rPr>
          <w:szCs w:val="24"/>
        </w:rPr>
        <w:t>.</w:t>
      </w:r>
      <w:r w:rsidR="00A132D6" w:rsidRPr="001E6232">
        <w:rPr>
          <w:szCs w:val="24"/>
        </w:rPr>
        <w:t xml:space="preserve">M. </w:t>
      </w:r>
      <w:r w:rsidR="00A132D6" w:rsidRPr="001E6232">
        <w:rPr>
          <w:szCs w:val="24"/>
          <w:lang w:val="en-US"/>
        </w:rPr>
        <w:t xml:space="preserve">Freshwater catfish </w:t>
      </w:r>
      <w:proofErr w:type="spellStart"/>
      <w:r w:rsidR="00A132D6" w:rsidRPr="001E6232">
        <w:rPr>
          <w:szCs w:val="24"/>
          <w:lang w:val="en-US"/>
        </w:rPr>
        <w:t>jundiá</w:t>
      </w:r>
      <w:proofErr w:type="spellEnd"/>
      <w:r w:rsidR="00A132D6" w:rsidRPr="001E6232">
        <w:rPr>
          <w:szCs w:val="24"/>
          <w:lang w:val="en-US"/>
        </w:rPr>
        <w:t xml:space="preserve"> (</w:t>
      </w:r>
      <w:proofErr w:type="spellStart"/>
      <w:r w:rsidR="00A132D6" w:rsidRPr="0049270C">
        <w:rPr>
          <w:i/>
          <w:szCs w:val="24"/>
          <w:lang w:val="en-US"/>
        </w:rPr>
        <w:t>Rhamdia</w:t>
      </w:r>
      <w:proofErr w:type="spellEnd"/>
      <w:r w:rsidR="00A132D6" w:rsidRPr="0049270C">
        <w:rPr>
          <w:i/>
          <w:szCs w:val="24"/>
          <w:lang w:val="en-US"/>
        </w:rPr>
        <w:t xml:space="preserve"> </w:t>
      </w:r>
      <w:proofErr w:type="spellStart"/>
      <w:r w:rsidR="00A132D6" w:rsidRPr="0049270C">
        <w:rPr>
          <w:i/>
          <w:szCs w:val="24"/>
          <w:lang w:val="en-US"/>
        </w:rPr>
        <w:t>quelen</w:t>
      </w:r>
      <w:proofErr w:type="spellEnd"/>
      <w:r w:rsidR="00A132D6" w:rsidRPr="001E6232">
        <w:rPr>
          <w:szCs w:val="24"/>
          <w:lang w:val="en-US"/>
        </w:rPr>
        <w:t xml:space="preserve">) larvae are prepared to digest inert feed at the exogenous feeding onset: physiological and histological assessments. </w:t>
      </w:r>
      <w:r w:rsidR="00A132D6" w:rsidRPr="0049270C">
        <w:rPr>
          <w:b/>
          <w:szCs w:val="24"/>
          <w:lang w:val="en-US"/>
        </w:rPr>
        <w:t xml:space="preserve">Fish </w:t>
      </w:r>
      <w:proofErr w:type="spellStart"/>
      <w:r w:rsidR="00A132D6" w:rsidRPr="0049270C">
        <w:rPr>
          <w:b/>
          <w:szCs w:val="24"/>
          <w:lang w:val="en-US"/>
        </w:rPr>
        <w:t>Physiol</w:t>
      </w:r>
      <w:proofErr w:type="spellEnd"/>
      <w:r w:rsidR="00A132D6" w:rsidRPr="0049270C">
        <w:rPr>
          <w:b/>
          <w:szCs w:val="24"/>
          <w:lang w:val="en-US"/>
        </w:rPr>
        <w:t xml:space="preserve"> </w:t>
      </w:r>
      <w:proofErr w:type="spellStart"/>
      <w:r w:rsidR="00A132D6" w:rsidRPr="0049270C">
        <w:rPr>
          <w:b/>
          <w:szCs w:val="24"/>
          <w:lang w:val="en-US"/>
        </w:rPr>
        <w:t>Biochem</w:t>
      </w:r>
      <w:proofErr w:type="spellEnd"/>
      <w:r>
        <w:rPr>
          <w:szCs w:val="24"/>
          <w:lang w:val="en-US"/>
        </w:rPr>
        <w:t>,</w:t>
      </w:r>
      <w:r w:rsidR="00A132D6" w:rsidRPr="001E6232">
        <w:rPr>
          <w:szCs w:val="24"/>
          <w:lang w:val="en-US"/>
        </w:rPr>
        <w:t xml:space="preserve"> </w:t>
      </w:r>
      <w:r>
        <w:rPr>
          <w:szCs w:val="24"/>
          <w:lang w:val="en-US"/>
        </w:rPr>
        <w:t>v.</w:t>
      </w:r>
      <w:r w:rsidR="00A132D6" w:rsidRPr="001E6232">
        <w:rPr>
          <w:szCs w:val="24"/>
          <w:lang w:val="en-US"/>
        </w:rPr>
        <w:t>39</w:t>
      </w:r>
      <w:r>
        <w:rPr>
          <w:szCs w:val="24"/>
          <w:lang w:val="en-US"/>
        </w:rPr>
        <w:t>,</w:t>
      </w:r>
      <w:r w:rsidR="00A132D6" w:rsidRPr="001E6232">
        <w:rPr>
          <w:szCs w:val="24"/>
          <w:lang w:val="en-US"/>
        </w:rPr>
        <w:t xml:space="preserve"> </w:t>
      </w:r>
      <w:r>
        <w:rPr>
          <w:szCs w:val="24"/>
          <w:lang w:val="en-US"/>
        </w:rPr>
        <w:t>p.</w:t>
      </w:r>
      <w:r w:rsidR="00A132D6" w:rsidRPr="001E6232">
        <w:rPr>
          <w:szCs w:val="24"/>
          <w:lang w:val="en-US"/>
        </w:rPr>
        <w:t>1581-1590</w:t>
      </w:r>
      <w:r>
        <w:rPr>
          <w:szCs w:val="24"/>
          <w:lang w:val="en-US"/>
        </w:rPr>
        <w:t xml:space="preserve">, </w:t>
      </w:r>
      <w:r w:rsidRPr="001E6232">
        <w:rPr>
          <w:szCs w:val="24"/>
          <w:lang w:val="en-US"/>
        </w:rPr>
        <w:t>2013</w:t>
      </w:r>
      <w:r w:rsidR="00A132D6" w:rsidRPr="001E6232">
        <w:rPr>
          <w:szCs w:val="24"/>
          <w:lang w:val="en-US"/>
        </w:rPr>
        <w:t>.</w:t>
      </w:r>
    </w:p>
    <w:p w:rsidR="00A132D6" w:rsidRPr="001E6232" w:rsidRDefault="0049270C" w:rsidP="004412C8">
      <w:pPr>
        <w:spacing w:before="60" w:after="60" w:line="240" w:lineRule="auto"/>
        <w:jc w:val="both"/>
        <w:rPr>
          <w:szCs w:val="24"/>
          <w:lang w:val="en-US"/>
        </w:rPr>
      </w:pPr>
      <w:r w:rsidRPr="001E6232">
        <w:rPr>
          <w:szCs w:val="24"/>
        </w:rPr>
        <w:t>SULIS-COSTA</w:t>
      </w:r>
      <w:r>
        <w:rPr>
          <w:szCs w:val="24"/>
        </w:rPr>
        <w:t>,</w:t>
      </w:r>
      <w:r w:rsidRPr="001E6232">
        <w:rPr>
          <w:szCs w:val="24"/>
        </w:rPr>
        <w:t xml:space="preserve"> R</w:t>
      </w:r>
      <w:r>
        <w:rPr>
          <w:szCs w:val="24"/>
        </w:rPr>
        <w:t>.;</w:t>
      </w:r>
      <w:r w:rsidRPr="001E6232">
        <w:rPr>
          <w:szCs w:val="24"/>
        </w:rPr>
        <w:t xml:space="preserve"> JIMENEZ</w:t>
      </w:r>
      <w:r>
        <w:rPr>
          <w:szCs w:val="24"/>
        </w:rPr>
        <w:t>,</w:t>
      </w:r>
      <w:r w:rsidRPr="001E6232">
        <w:rPr>
          <w:szCs w:val="24"/>
        </w:rPr>
        <w:t xml:space="preserve"> J</w:t>
      </w:r>
      <w:r>
        <w:rPr>
          <w:szCs w:val="24"/>
        </w:rPr>
        <w:t>.</w:t>
      </w:r>
      <w:r w:rsidRPr="001E6232">
        <w:rPr>
          <w:szCs w:val="24"/>
        </w:rPr>
        <w:t>E</w:t>
      </w:r>
      <w:r>
        <w:rPr>
          <w:szCs w:val="24"/>
        </w:rPr>
        <w:t>.;</w:t>
      </w:r>
      <w:r w:rsidRPr="001E6232">
        <w:rPr>
          <w:szCs w:val="24"/>
        </w:rPr>
        <w:t xml:space="preserve"> WEINGARTNER</w:t>
      </w:r>
      <w:r>
        <w:rPr>
          <w:szCs w:val="24"/>
        </w:rPr>
        <w:t>,</w:t>
      </w:r>
      <w:r w:rsidRPr="001E6232">
        <w:rPr>
          <w:szCs w:val="24"/>
        </w:rPr>
        <w:t xml:space="preserve"> M</w:t>
      </w:r>
      <w:r>
        <w:rPr>
          <w:szCs w:val="24"/>
        </w:rPr>
        <w:t>.;</w:t>
      </w:r>
      <w:r w:rsidRPr="001E6232">
        <w:rPr>
          <w:szCs w:val="24"/>
        </w:rPr>
        <w:t xml:space="preserve"> NUÑER</w:t>
      </w:r>
      <w:r>
        <w:rPr>
          <w:szCs w:val="24"/>
        </w:rPr>
        <w:t>,</w:t>
      </w:r>
      <w:r w:rsidRPr="001E6232">
        <w:rPr>
          <w:szCs w:val="24"/>
        </w:rPr>
        <w:t xml:space="preserve"> </w:t>
      </w:r>
      <w:r w:rsidR="00A132D6" w:rsidRPr="001E6232">
        <w:rPr>
          <w:szCs w:val="24"/>
        </w:rPr>
        <w:t>A</w:t>
      </w:r>
      <w:r>
        <w:rPr>
          <w:szCs w:val="24"/>
        </w:rPr>
        <w:t>.</w:t>
      </w:r>
      <w:r w:rsidR="00A132D6" w:rsidRPr="001E6232">
        <w:rPr>
          <w:szCs w:val="24"/>
        </w:rPr>
        <w:t>P</w:t>
      </w:r>
      <w:r>
        <w:rPr>
          <w:szCs w:val="24"/>
        </w:rPr>
        <w:t>.</w:t>
      </w:r>
      <w:r w:rsidR="00A132D6" w:rsidRPr="001E6232">
        <w:rPr>
          <w:szCs w:val="24"/>
        </w:rPr>
        <w:t xml:space="preserve">O. Efeito da temperatura da água na fase inicial de vida e na proporção sexual do jundiá. </w:t>
      </w:r>
      <w:proofErr w:type="spellStart"/>
      <w:r w:rsidR="00A132D6" w:rsidRPr="0049270C">
        <w:rPr>
          <w:b/>
          <w:szCs w:val="24"/>
          <w:lang w:val="en-US"/>
        </w:rPr>
        <w:t>Bol</w:t>
      </w:r>
      <w:proofErr w:type="spellEnd"/>
      <w:r w:rsidR="00A132D6" w:rsidRPr="0049270C">
        <w:rPr>
          <w:b/>
          <w:szCs w:val="24"/>
          <w:lang w:val="en-US"/>
        </w:rPr>
        <w:t xml:space="preserve"> Inst </w:t>
      </w:r>
      <w:proofErr w:type="spellStart"/>
      <w:r w:rsidR="00A132D6" w:rsidRPr="0049270C">
        <w:rPr>
          <w:b/>
          <w:szCs w:val="24"/>
          <w:lang w:val="en-US"/>
        </w:rPr>
        <w:t>Pesca</w:t>
      </w:r>
      <w:proofErr w:type="spellEnd"/>
      <w:r>
        <w:rPr>
          <w:szCs w:val="24"/>
          <w:lang w:val="en-US"/>
        </w:rPr>
        <w:t>,</w:t>
      </w:r>
      <w:r w:rsidR="00A132D6" w:rsidRPr="001E6232">
        <w:rPr>
          <w:szCs w:val="24"/>
          <w:lang w:val="en-US"/>
        </w:rPr>
        <w:t xml:space="preserve"> </w:t>
      </w:r>
      <w:proofErr w:type="gramStart"/>
      <w:r>
        <w:rPr>
          <w:szCs w:val="24"/>
          <w:lang w:val="en-US"/>
        </w:rPr>
        <w:t>v.39</w:t>
      </w:r>
      <w:r w:rsidR="00A132D6" w:rsidRPr="001E6232">
        <w:rPr>
          <w:szCs w:val="24"/>
          <w:lang w:val="en-US"/>
        </w:rPr>
        <w:t>(</w:t>
      </w:r>
      <w:proofErr w:type="gramEnd"/>
      <w:r w:rsidR="00A132D6" w:rsidRPr="001E6232">
        <w:rPr>
          <w:szCs w:val="24"/>
          <w:lang w:val="en-US"/>
        </w:rPr>
        <w:t>4)</w:t>
      </w:r>
      <w:r>
        <w:rPr>
          <w:szCs w:val="24"/>
          <w:lang w:val="en-US"/>
        </w:rPr>
        <w:t>,</w:t>
      </w:r>
      <w:r w:rsidR="00A132D6" w:rsidRPr="001E6232">
        <w:rPr>
          <w:szCs w:val="24"/>
          <w:lang w:val="en-US"/>
        </w:rPr>
        <w:t xml:space="preserve"> </w:t>
      </w:r>
      <w:r>
        <w:rPr>
          <w:szCs w:val="24"/>
          <w:lang w:val="en-US"/>
        </w:rPr>
        <w:t>p.</w:t>
      </w:r>
      <w:r w:rsidR="00A132D6" w:rsidRPr="001E6232">
        <w:rPr>
          <w:szCs w:val="24"/>
          <w:lang w:val="en-US"/>
        </w:rPr>
        <w:t>379-388</w:t>
      </w:r>
      <w:r>
        <w:rPr>
          <w:szCs w:val="24"/>
          <w:lang w:val="en-US"/>
        </w:rPr>
        <w:t xml:space="preserve">, </w:t>
      </w:r>
      <w:r w:rsidRPr="001E6232">
        <w:rPr>
          <w:szCs w:val="24"/>
          <w:lang w:val="en-US"/>
        </w:rPr>
        <w:t>2013</w:t>
      </w:r>
      <w:r w:rsidR="00A132D6" w:rsidRPr="001E6232">
        <w:rPr>
          <w:szCs w:val="24"/>
          <w:lang w:val="en-US"/>
        </w:rPr>
        <w:t>.</w:t>
      </w:r>
    </w:p>
    <w:p w:rsidR="00A132D6" w:rsidRPr="001E6232" w:rsidRDefault="0049270C" w:rsidP="004412C8">
      <w:pPr>
        <w:spacing w:before="60" w:after="60" w:line="240" w:lineRule="auto"/>
        <w:jc w:val="both"/>
        <w:rPr>
          <w:szCs w:val="24"/>
          <w:lang w:val="en-US"/>
        </w:rPr>
      </w:pPr>
      <w:r w:rsidRPr="001E6232">
        <w:rPr>
          <w:szCs w:val="24"/>
          <w:lang w:val="en-US"/>
        </w:rPr>
        <w:t>WOYNAROVICH</w:t>
      </w:r>
      <w:r>
        <w:rPr>
          <w:szCs w:val="24"/>
          <w:lang w:val="en-US"/>
        </w:rPr>
        <w:t>,</w:t>
      </w:r>
      <w:r w:rsidRPr="001E6232">
        <w:rPr>
          <w:szCs w:val="24"/>
          <w:lang w:val="en-US"/>
        </w:rPr>
        <w:t xml:space="preserve"> E</w:t>
      </w:r>
      <w:r>
        <w:rPr>
          <w:szCs w:val="24"/>
          <w:lang w:val="en-US"/>
        </w:rPr>
        <w:t>.;</w:t>
      </w:r>
      <w:r w:rsidRPr="001E6232">
        <w:rPr>
          <w:szCs w:val="24"/>
          <w:lang w:val="en-US"/>
        </w:rPr>
        <w:t xml:space="preserve"> HORVÁTH</w:t>
      </w:r>
      <w:r>
        <w:rPr>
          <w:szCs w:val="24"/>
          <w:lang w:val="en-US"/>
        </w:rPr>
        <w:t>,</w:t>
      </w:r>
      <w:r w:rsidRPr="001E6232">
        <w:rPr>
          <w:szCs w:val="24"/>
          <w:lang w:val="en-US"/>
        </w:rPr>
        <w:t xml:space="preserve"> </w:t>
      </w:r>
      <w:r w:rsidR="00A132D6" w:rsidRPr="001E6232">
        <w:rPr>
          <w:szCs w:val="24"/>
          <w:lang w:val="en-US"/>
        </w:rPr>
        <w:t>L. The artificial propagation of warm-water finfishes: a manual for extension. FAO Fisheries Technical Paper, n.201; 1980.</w:t>
      </w:r>
    </w:p>
    <w:p w:rsidR="00A132D6" w:rsidRDefault="0049270C" w:rsidP="004412C8">
      <w:pPr>
        <w:spacing w:before="60" w:after="60" w:line="240" w:lineRule="auto"/>
        <w:jc w:val="both"/>
        <w:rPr>
          <w:szCs w:val="24"/>
        </w:rPr>
      </w:pPr>
      <w:r w:rsidRPr="001E6232">
        <w:rPr>
          <w:szCs w:val="24"/>
          <w:lang w:val="en-US"/>
        </w:rPr>
        <w:t>ZAR</w:t>
      </w:r>
      <w:r>
        <w:rPr>
          <w:szCs w:val="24"/>
          <w:lang w:val="en-US"/>
        </w:rPr>
        <w:t>,</w:t>
      </w:r>
      <w:r w:rsidR="00A132D6" w:rsidRPr="001E6232">
        <w:rPr>
          <w:szCs w:val="24"/>
          <w:lang w:val="en-US"/>
        </w:rPr>
        <w:t xml:space="preserve"> J</w:t>
      </w:r>
      <w:r>
        <w:rPr>
          <w:szCs w:val="24"/>
          <w:lang w:val="en-US"/>
        </w:rPr>
        <w:t>.</w:t>
      </w:r>
      <w:r w:rsidR="00A132D6" w:rsidRPr="001E6232">
        <w:rPr>
          <w:szCs w:val="24"/>
          <w:lang w:val="en-US"/>
        </w:rPr>
        <w:t xml:space="preserve">H. </w:t>
      </w:r>
      <w:proofErr w:type="spellStart"/>
      <w:r w:rsidR="00A132D6" w:rsidRPr="0049270C">
        <w:rPr>
          <w:b/>
          <w:szCs w:val="24"/>
          <w:lang w:val="en-US"/>
        </w:rPr>
        <w:t>Biostatistical</w:t>
      </w:r>
      <w:proofErr w:type="spellEnd"/>
      <w:r w:rsidR="00A132D6" w:rsidRPr="0049270C">
        <w:rPr>
          <w:b/>
          <w:szCs w:val="24"/>
          <w:lang w:val="en-US"/>
        </w:rPr>
        <w:t xml:space="preserve"> analysis</w:t>
      </w:r>
      <w:r w:rsidR="00A132D6" w:rsidRPr="001E6232">
        <w:rPr>
          <w:szCs w:val="24"/>
          <w:lang w:val="en-US"/>
        </w:rPr>
        <w:t>. New Jersey: Prentice Hall; 2010.</w:t>
      </w:r>
    </w:p>
    <w:p w:rsidR="00A132D6" w:rsidRPr="00C86FAA" w:rsidRDefault="00A132D6" w:rsidP="00D66241">
      <w:pPr>
        <w:spacing w:after="0" w:line="240" w:lineRule="auto"/>
        <w:jc w:val="both"/>
        <w:rPr>
          <w:szCs w:val="24"/>
        </w:rPr>
      </w:pPr>
    </w:p>
    <w:sectPr w:rsidR="00A132D6" w:rsidRPr="00C86FAA" w:rsidSect="0084602C">
      <w:headerReference w:type="default" r:id="rId8"/>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4AC" w:rsidRDefault="00B714AC" w:rsidP="00880ABD">
      <w:pPr>
        <w:spacing w:after="0" w:line="240" w:lineRule="auto"/>
      </w:pPr>
      <w:r>
        <w:separator/>
      </w:r>
    </w:p>
  </w:endnote>
  <w:endnote w:type="continuationSeparator" w:id="0">
    <w:p w:rsidR="00B714AC" w:rsidRDefault="00B714AC"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4AC" w:rsidRDefault="00B714AC" w:rsidP="00880ABD">
      <w:pPr>
        <w:spacing w:after="0" w:line="240" w:lineRule="auto"/>
      </w:pPr>
      <w:r>
        <w:separator/>
      </w:r>
    </w:p>
  </w:footnote>
  <w:footnote w:type="continuationSeparator" w:id="0">
    <w:p w:rsidR="00B714AC" w:rsidRDefault="00B714AC"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BD" w:rsidRDefault="006412FD"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9D166D">
      <w:rPr>
        <w:noProof/>
        <w:sz w:val="20"/>
        <w:szCs w:val="20"/>
      </w:rPr>
      <w:t>6</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84E69"/>
    <w:rsid w:val="000D51AC"/>
    <w:rsid w:val="000F4872"/>
    <w:rsid w:val="001117DA"/>
    <w:rsid w:val="00124D6E"/>
    <w:rsid w:val="001425CD"/>
    <w:rsid w:val="00142E9B"/>
    <w:rsid w:val="001C44B6"/>
    <w:rsid w:val="001E254F"/>
    <w:rsid w:val="001E6232"/>
    <w:rsid w:val="001F2267"/>
    <w:rsid w:val="002331AB"/>
    <w:rsid w:val="002577F8"/>
    <w:rsid w:val="00271200"/>
    <w:rsid w:val="002812AA"/>
    <w:rsid w:val="002F5A77"/>
    <w:rsid w:val="003156FC"/>
    <w:rsid w:val="003270C9"/>
    <w:rsid w:val="00353954"/>
    <w:rsid w:val="00356647"/>
    <w:rsid w:val="00376441"/>
    <w:rsid w:val="00383B9C"/>
    <w:rsid w:val="00390093"/>
    <w:rsid w:val="004146C9"/>
    <w:rsid w:val="00437053"/>
    <w:rsid w:val="004412C8"/>
    <w:rsid w:val="00451CBF"/>
    <w:rsid w:val="00470284"/>
    <w:rsid w:val="004840DC"/>
    <w:rsid w:val="0049270C"/>
    <w:rsid w:val="004A1FEE"/>
    <w:rsid w:val="004A7A6C"/>
    <w:rsid w:val="004D17CC"/>
    <w:rsid w:val="00516A47"/>
    <w:rsid w:val="005B1CD7"/>
    <w:rsid w:val="005B7F5E"/>
    <w:rsid w:val="005F0065"/>
    <w:rsid w:val="005F1B78"/>
    <w:rsid w:val="00600A4F"/>
    <w:rsid w:val="006412FD"/>
    <w:rsid w:val="0069210E"/>
    <w:rsid w:val="006D7C8B"/>
    <w:rsid w:val="006E13AD"/>
    <w:rsid w:val="006F540B"/>
    <w:rsid w:val="00706E0D"/>
    <w:rsid w:val="007101DA"/>
    <w:rsid w:val="007269F2"/>
    <w:rsid w:val="00736C6E"/>
    <w:rsid w:val="00736E8F"/>
    <w:rsid w:val="007551B2"/>
    <w:rsid w:val="00785113"/>
    <w:rsid w:val="007B7288"/>
    <w:rsid w:val="007E6F8E"/>
    <w:rsid w:val="00806386"/>
    <w:rsid w:val="00815198"/>
    <w:rsid w:val="00815365"/>
    <w:rsid w:val="0081639F"/>
    <w:rsid w:val="00823FC4"/>
    <w:rsid w:val="008332CB"/>
    <w:rsid w:val="0084602C"/>
    <w:rsid w:val="00870B75"/>
    <w:rsid w:val="00880ABD"/>
    <w:rsid w:val="00902376"/>
    <w:rsid w:val="00912EDA"/>
    <w:rsid w:val="00931F5F"/>
    <w:rsid w:val="00945875"/>
    <w:rsid w:val="0096366E"/>
    <w:rsid w:val="00967FB8"/>
    <w:rsid w:val="009734FE"/>
    <w:rsid w:val="00986650"/>
    <w:rsid w:val="0099760C"/>
    <w:rsid w:val="009A1AB4"/>
    <w:rsid w:val="009C52EF"/>
    <w:rsid w:val="009D166D"/>
    <w:rsid w:val="00A069E2"/>
    <w:rsid w:val="00A132D6"/>
    <w:rsid w:val="00A30D82"/>
    <w:rsid w:val="00A34330"/>
    <w:rsid w:val="00A752B5"/>
    <w:rsid w:val="00A968FE"/>
    <w:rsid w:val="00AA3AD6"/>
    <w:rsid w:val="00AC6A37"/>
    <w:rsid w:val="00AF5B6E"/>
    <w:rsid w:val="00B714AC"/>
    <w:rsid w:val="00B819F5"/>
    <w:rsid w:val="00B86724"/>
    <w:rsid w:val="00BA5317"/>
    <w:rsid w:val="00BC619C"/>
    <w:rsid w:val="00BF4F03"/>
    <w:rsid w:val="00C111DF"/>
    <w:rsid w:val="00C16E8D"/>
    <w:rsid w:val="00C172A9"/>
    <w:rsid w:val="00C36C21"/>
    <w:rsid w:val="00C37B25"/>
    <w:rsid w:val="00C428DA"/>
    <w:rsid w:val="00C76A48"/>
    <w:rsid w:val="00C86FAA"/>
    <w:rsid w:val="00CC7791"/>
    <w:rsid w:val="00CE0E02"/>
    <w:rsid w:val="00D35FB3"/>
    <w:rsid w:val="00D66241"/>
    <w:rsid w:val="00D73C82"/>
    <w:rsid w:val="00D93CE1"/>
    <w:rsid w:val="00D9425C"/>
    <w:rsid w:val="00DC29DB"/>
    <w:rsid w:val="00DD1D86"/>
    <w:rsid w:val="00DD4F57"/>
    <w:rsid w:val="00E05189"/>
    <w:rsid w:val="00E05A79"/>
    <w:rsid w:val="00E51E5B"/>
    <w:rsid w:val="00E71FB4"/>
    <w:rsid w:val="00E76047"/>
    <w:rsid w:val="00E86BBF"/>
    <w:rsid w:val="00E86C3C"/>
    <w:rsid w:val="00EC0FEF"/>
    <w:rsid w:val="00EC4BB0"/>
    <w:rsid w:val="00EF6BA8"/>
    <w:rsid w:val="00F0669A"/>
    <w:rsid w:val="00F2360A"/>
    <w:rsid w:val="00F66B90"/>
    <w:rsid w:val="00F90857"/>
    <w:rsid w:val="00F91409"/>
    <w:rsid w:val="00F92E7B"/>
    <w:rsid w:val="00FD06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A55CC-F86D-4717-AE2B-9BABE927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customStyle="1" w:styleId="shorttext">
    <w:name w:val="short_text"/>
    <w:basedOn w:val="Fontepargpadro"/>
    <w:rsid w:val="00F0669A"/>
  </w:style>
  <w:style w:type="character" w:customStyle="1" w:styleId="alt-edited">
    <w:name w:val="alt-edited"/>
    <w:basedOn w:val="Fontepargpadro"/>
    <w:rsid w:val="00F0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E8AF-4187-4BA5-BA9B-89DD6478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7</Pages>
  <Words>3382</Words>
  <Characters>18269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21608</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Luciano</cp:lastModifiedBy>
  <cp:revision>23</cp:revision>
  <dcterms:created xsi:type="dcterms:W3CDTF">2017-08-17T18:59:00Z</dcterms:created>
  <dcterms:modified xsi:type="dcterms:W3CDTF">2017-09-05T17:14:00Z</dcterms:modified>
</cp:coreProperties>
</file>