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B916" w14:textId="77777777" w:rsidR="0034077F" w:rsidRPr="0034077F" w:rsidRDefault="0034077F" w:rsidP="0034077F">
      <w:pPr>
        <w:jc w:val="center"/>
        <w:rPr>
          <w:b/>
          <w:bCs/>
        </w:rPr>
      </w:pPr>
      <w:r w:rsidRPr="0034077F">
        <w:rPr>
          <w:b/>
          <w:bCs/>
        </w:rPr>
        <w:t xml:space="preserve">A análise proteômica no contexto forense </w:t>
      </w:r>
    </w:p>
    <w:p w14:paraId="3B0767C1" w14:textId="77777777" w:rsidR="006B0CC4" w:rsidRPr="0034077F" w:rsidRDefault="006B0CC4" w:rsidP="00824730">
      <w:pPr>
        <w:spacing w:line="240" w:lineRule="auto"/>
        <w:jc w:val="center"/>
        <w:rPr>
          <w:i/>
          <w:sz w:val="20"/>
          <w:szCs w:val="20"/>
        </w:rPr>
      </w:pPr>
      <w:bookmarkStart w:id="0" w:name="_GoBack"/>
      <w:bookmarkEnd w:id="0"/>
    </w:p>
    <w:p w14:paraId="5E070ADF" w14:textId="2B242806" w:rsidR="00E83D33" w:rsidRPr="00E83D33" w:rsidRDefault="00B20455" w:rsidP="00E83D33">
      <w:pPr>
        <w:spacing w:line="240" w:lineRule="auto"/>
        <w:ind w:firstLine="708"/>
        <w:rPr>
          <w:color w:val="FF0000"/>
          <w:lang w:val="en-US"/>
        </w:rPr>
      </w:pPr>
      <w:r w:rsidRPr="00464698">
        <w:rPr>
          <w:sz w:val="22"/>
          <w:szCs w:val="22"/>
        </w:rPr>
        <w:t xml:space="preserve">Foi realizada uma revisão de literatura consultando as bases de dados Medline, LILACS , BBO e Scielo, de 1997 a 2017, com o objetivo de ressaltar </w:t>
      </w:r>
      <w:r w:rsidRPr="00464698">
        <w:rPr>
          <w:sz w:val="22"/>
          <w:szCs w:val="22"/>
          <w:lang w:val="en-US"/>
        </w:rPr>
        <w:t xml:space="preserve">a importância do estudo da </w:t>
      </w:r>
      <w:r w:rsidRPr="00464698">
        <w:rPr>
          <w:sz w:val="22"/>
          <w:szCs w:val="22"/>
        </w:rPr>
        <w:t xml:space="preserve">proteômica e sua aplicação nas diversas áreas forenses. </w:t>
      </w:r>
      <w:r w:rsidR="00E83D33" w:rsidRPr="00464698">
        <w:rPr>
          <w:sz w:val="22"/>
          <w:szCs w:val="22"/>
          <w:lang w:val="en-US" w:eastAsia="en-US"/>
        </w:rPr>
        <w:t xml:space="preserve">A compreensão da morfologia e função da molécula de DNA é um pressuposto para o estudo e elaboração de metodologias aplicadas ao estudo das proteínas. O Projeto Genoma Humano (PGH) revelou que há muito mais proteínas num proteoma (um milhão de proteínas aproximadamente) do que genes (20.000 a 25.000). A proteômica ressurge como uma área complementar ao estudo do genoma. Não só as proteínas podem ser analisadas como também os diversos processos biológicos das células, suas isoformas, modificações e interações. </w:t>
      </w:r>
      <w:r w:rsidR="00E83D33" w:rsidRPr="00464698">
        <w:rPr>
          <w:b/>
          <w:sz w:val="22"/>
          <w:szCs w:val="22"/>
        </w:rPr>
        <w:t xml:space="preserve"> </w:t>
      </w:r>
      <w:r w:rsidR="00E83D33" w:rsidRPr="00464698">
        <w:rPr>
          <w:sz w:val="22"/>
          <w:szCs w:val="22"/>
        </w:rPr>
        <w:t>O campo</w:t>
      </w:r>
      <w:r w:rsidR="00E83D33" w:rsidRPr="00D32D9D">
        <w:rPr>
          <w:sz w:val="22"/>
          <w:szCs w:val="22"/>
        </w:rPr>
        <w:t xml:space="preserve"> alcançado tem testemunhado um enorme desenvolvimento na última década, principalmente através de avanços na espectrometria de massa (MS- Mass Spectrometry) e na bioinformática com softwares disponíveis que convertem os gigabytes da MS em identificações peptídicas. </w:t>
      </w:r>
      <w:r w:rsidR="00E83D33" w:rsidRPr="00D32D9D">
        <w:rPr>
          <w:sz w:val="22"/>
          <w:szCs w:val="22"/>
          <w:lang w:val="en-US"/>
        </w:rPr>
        <w:t xml:space="preserve">Essas abordagens aumentam a confiabilidade da identificação protéica pois a precisão a ser alcançada nos peptídeos derivados da proteína é muito maior, algumas partes por milhão. </w:t>
      </w:r>
      <w:r w:rsidR="00E83D33" w:rsidRPr="00D32D9D">
        <w:rPr>
          <w:sz w:val="22"/>
          <w:szCs w:val="22"/>
        </w:rPr>
        <w:t xml:space="preserve"> </w:t>
      </w:r>
    </w:p>
    <w:p w14:paraId="4F390174" w14:textId="77777777" w:rsidR="00E83D33" w:rsidRPr="00D32D9D" w:rsidRDefault="00E83D33" w:rsidP="00E83D33">
      <w:pPr>
        <w:spacing w:line="240" w:lineRule="auto"/>
        <w:ind w:firstLine="720"/>
        <w:rPr>
          <w:sz w:val="22"/>
          <w:szCs w:val="22"/>
          <w:lang w:val="en-US"/>
        </w:rPr>
      </w:pPr>
      <w:r w:rsidRPr="00D32D9D">
        <w:rPr>
          <w:sz w:val="22"/>
          <w:szCs w:val="22"/>
        </w:rPr>
        <w:t xml:space="preserve">A capacidade da espectrometria de massa para identificar quantidades mínimas de proteínas de misturas cada vez mais complexas é a principal força motriz da proteômica. </w:t>
      </w:r>
      <w:r w:rsidRPr="00D32D9D">
        <w:rPr>
          <w:sz w:val="22"/>
          <w:szCs w:val="22"/>
          <w:lang w:val="en-US"/>
        </w:rPr>
        <w:t>Uma vez identificadas, a MS baseada em ensaios-alvo facilita a detecção e a quantificação de proteínas de baixa abundância em um contexto de outras moléculas não-alvo. Esta abordagem resultou em uma riqueza de novas oportunidades para desenvolver pesquisas baseadas em proteínas com aplicações forenses, onde muitas vezes as amostras coletadas nessas situações são em quantidades ínfimas e de difícil detecção.</w:t>
      </w:r>
    </w:p>
    <w:p w14:paraId="58F993F5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  <w:r w:rsidRPr="00D32D9D">
        <w:rPr>
          <w:sz w:val="22"/>
          <w:szCs w:val="22"/>
        </w:rPr>
        <w:t>Considerando que o genoma é quase idêntico em cada célula do corpo humano e  também relativamente constante ao longo da vida de um organismo</w:t>
      </w:r>
      <w:r w:rsidRPr="00D32D9D">
        <w:rPr>
          <w:sz w:val="22"/>
          <w:szCs w:val="22"/>
          <w:lang w:val="en-US"/>
        </w:rPr>
        <w:t>,</w:t>
      </w:r>
      <w:r w:rsidRPr="00D32D9D">
        <w:rPr>
          <w:sz w:val="22"/>
          <w:szCs w:val="22"/>
        </w:rPr>
        <w:t xml:space="preserve"> existem expressões protéicas em diferentes partes do corpo, em cada célula, e muda dramaticamente ao longo do tempo,</w:t>
      </w:r>
      <w:r w:rsidRPr="00D32D9D">
        <w:rPr>
          <w:sz w:val="22"/>
          <w:szCs w:val="22"/>
          <w:lang w:val="en-US"/>
        </w:rPr>
        <w:t xml:space="preserve"> </w:t>
      </w:r>
      <w:r w:rsidRPr="00D32D9D">
        <w:rPr>
          <w:sz w:val="22"/>
          <w:szCs w:val="22"/>
        </w:rPr>
        <w:t xml:space="preserve">em diferentes estágios do ciclo de vida e em diferentes condições ambientais. Enquanto o genoma é uma entidade constante, o proteoma é uma entidade dinâmica e </w:t>
      </w:r>
      <w:r w:rsidRPr="00D32D9D">
        <w:rPr>
          <w:sz w:val="22"/>
          <w:szCs w:val="22"/>
          <w:lang w:val="en-US"/>
        </w:rPr>
        <w:t>torna possível uma análise mais detalhada e dinâmica da expressão gênica nos processos metabólicos dos seres vivos.</w:t>
      </w:r>
    </w:p>
    <w:p w14:paraId="79AE0F84" w14:textId="77777777" w:rsidR="00E83D33" w:rsidRPr="00D32D9D" w:rsidRDefault="00E83D33" w:rsidP="00E83D33">
      <w:pPr>
        <w:spacing w:line="240" w:lineRule="auto"/>
        <w:ind w:firstLine="720"/>
        <w:rPr>
          <w:sz w:val="22"/>
          <w:szCs w:val="22"/>
          <w:lang w:val="en-US"/>
        </w:rPr>
      </w:pPr>
      <w:r w:rsidRPr="00D32D9D">
        <w:rPr>
          <w:sz w:val="22"/>
          <w:szCs w:val="22"/>
          <w:lang w:val="en-US"/>
        </w:rPr>
        <w:t xml:space="preserve">Projetos iniciais do proteoma humano incluem: o mapa proteômico de Kim et al. em 2014, que </w:t>
      </w:r>
      <w:r w:rsidRPr="00D32D9D">
        <w:rPr>
          <w:sz w:val="22"/>
          <w:szCs w:val="22"/>
        </w:rPr>
        <w:t xml:space="preserve">apresentaram medições diretas de proteínas e peptídeos; </w:t>
      </w:r>
      <w:r w:rsidRPr="00D32D9D">
        <w:rPr>
          <w:sz w:val="22"/>
          <w:szCs w:val="22"/>
          <w:lang w:val="en-US"/>
        </w:rPr>
        <w:t>o banco de dados proteômicos de Wilhelm et al. em 2014 (</w:t>
      </w:r>
      <w:r w:rsidRPr="00D32D9D">
        <w:rPr>
          <w:sz w:val="22"/>
          <w:szCs w:val="22"/>
        </w:rPr>
        <w:t>https:www.proteomicssdb.org) que permitirão desenvolver ferramentas computacionais e reagentes laboratoriais facilitando experimentos na descoberta de todo o proteoma, ensaios quantitativos de proteínas, bem como a exploração geral do proteoma humano;</w:t>
      </w:r>
      <w:r w:rsidRPr="00D32D9D">
        <w:rPr>
          <w:sz w:val="22"/>
          <w:szCs w:val="22"/>
          <w:lang w:val="en-US"/>
        </w:rPr>
        <w:t xml:space="preserve"> e o atlas de proteínas do corpo humano de Uhlén et al. em 2015, com detalhado proteoma nos diferentes tecidos e órgãos do corpo humano (Human Protein Atlas, www.proteinatlas.org).</w:t>
      </w:r>
      <w:r w:rsidRPr="00D32D9D">
        <w:rPr>
          <w:color w:val="000000"/>
          <w:sz w:val="22"/>
          <w:szCs w:val="22"/>
          <w:lang w:val="en-US"/>
        </w:rPr>
        <w:t xml:space="preserve"> </w:t>
      </w:r>
    </w:p>
    <w:p w14:paraId="25964247" w14:textId="77777777" w:rsidR="00E83D33" w:rsidRPr="00D32D9D" w:rsidRDefault="00E83D33" w:rsidP="00E83D33">
      <w:pPr>
        <w:spacing w:line="240" w:lineRule="auto"/>
        <w:ind w:firstLine="720"/>
        <w:rPr>
          <w:b/>
          <w:sz w:val="22"/>
          <w:szCs w:val="22"/>
          <w:lang w:val="en-US"/>
        </w:rPr>
      </w:pPr>
      <w:r w:rsidRPr="00D32D9D">
        <w:rPr>
          <w:sz w:val="22"/>
          <w:szCs w:val="22"/>
        </w:rPr>
        <w:t>A informação sistemática confiável através da sequenciação de proteínas resistentes à degradação é essencial para as investigações em biologia evolutiva adicionando novas dimensões para o estudo da seleção natural de espécies extintas e existentes.</w:t>
      </w:r>
      <w:r w:rsidRPr="00D32D9D">
        <w:rPr>
          <w:b/>
          <w:sz w:val="22"/>
          <w:szCs w:val="22"/>
          <w:lang w:val="en-US"/>
        </w:rPr>
        <w:t xml:space="preserve"> </w:t>
      </w:r>
      <w:r w:rsidRPr="00D32D9D">
        <w:rPr>
          <w:sz w:val="22"/>
          <w:szCs w:val="22"/>
          <w:lang w:val="en-US"/>
        </w:rPr>
        <w:t xml:space="preserve">Esta técnica oferece perspectivas para inferências filogenéticas e estudos fisiológicos na investigação de amostras onde o DNA antigo não é acessível devido à degradação fossil, </w:t>
      </w:r>
      <w:r w:rsidRPr="00D32D9D">
        <w:rPr>
          <w:color w:val="000000"/>
          <w:sz w:val="22"/>
          <w:szCs w:val="22"/>
          <w:lang w:val="en-US"/>
        </w:rPr>
        <w:t xml:space="preserve">que pode oferecer a oportunidade de reconstruir fenótipos fisiopatológicos caracterizados por padrões específicos de expressão protéica e não necessariamente codificados por DNA. </w:t>
      </w:r>
      <w:r w:rsidRPr="00D32D9D">
        <w:rPr>
          <w:color w:val="131413"/>
          <w:sz w:val="22"/>
          <w:szCs w:val="22"/>
          <w:lang w:val="en-US"/>
        </w:rPr>
        <w:t xml:space="preserve">A elevada sensibilidade da MS e a estabilidade das proteínas possibilitam identificar amostras pequenas e antigas inclusive </w:t>
      </w:r>
      <w:r w:rsidRPr="00D32D9D">
        <w:rPr>
          <w:sz w:val="22"/>
          <w:szCs w:val="22"/>
        </w:rPr>
        <w:t xml:space="preserve">em amostras parcialmente degradadas. Amostras com essas características, ínfima quantidade, antigas e até mesmo arqueológicas e/ou degradadas por diversos fatores, são comumente encontradas nas diversas áreas das Ciências Forenses. </w:t>
      </w:r>
      <w:r w:rsidRPr="00D32D9D">
        <w:rPr>
          <w:sz w:val="22"/>
          <w:szCs w:val="22"/>
          <w:lang w:val="en-US"/>
        </w:rPr>
        <w:t>O sequenciamento de regiões peptídicas do dimorfismo do gênero encontrado no esmalte dentário, pode ser útil na determinação do sexo.</w:t>
      </w:r>
      <w:r w:rsidRPr="00D32D9D">
        <w:rPr>
          <w:b/>
          <w:sz w:val="22"/>
          <w:szCs w:val="22"/>
          <w:lang w:val="en-US"/>
        </w:rPr>
        <w:t xml:space="preserve"> </w:t>
      </w:r>
      <w:r w:rsidRPr="00D32D9D">
        <w:rPr>
          <w:sz w:val="22"/>
          <w:szCs w:val="22"/>
        </w:rPr>
        <w:t xml:space="preserve">A análise proteômica auxilia na diferenciação de origens étnicas e oferecer uma abordagem para o uso de evidências de cabelo em cenas de crime na distinção entre indivíduos. As informações provenientes da caracterização proteômica complementam o exame microscópico e de DNA, e aumentam o seu valor probatório. Auxilia na identidade e a ancestralidade biogeográfica pelos peptídeos variantes na proteína do eixo do cabelo, auxiliando na antropologia e na genética forense. </w:t>
      </w:r>
    </w:p>
    <w:p w14:paraId="10795312" w14:textId="77777777" w:rsidR="00E83D33" w:rsidRPr="00D32D9D" w:rsidRDefault="00E83D33" w:rsidP="00E83D33">
      <w:pPr>
        <w:spacing w:line="240" w:lineRule="auto"/>
        <w:ind w:firstLine="720"/>
        <w:rPr>
          <w:sz w:val="22"/>
          <w:szCs w:val="22"/>
          <w:lang w:val="en-US"/>
        </w:rPr>
      </w:pPr>
      <w:r w:rsidRPr="00D32D9D">
        <w:rPr>
          <w:sz w:val="22"/>
          <w:szCs w:val="22"/>
        </w:rPr>
        <w:t xml:space="preserve">A cor dos olhos pode permitir a associação de marcadores genéticos através da MS servindo como um recurso valioso para futuras investigações. </w:t>
      </w:r>
      <w:r w:rsidRPr="00D32D9D">
        <w:rPr>
          <w:sz w:val="22"/>
          <w:szCs w:val="22"/>
          <w:lang w:val="en-US"/>
        </w:rPr>
        <w:t>Entre outras abordagens como a identificação de manchas biológicas</w:t>
      </w:r>
      <w:r w:rsidRPr="00D32D9D">
        <w:rPr>
          <w:sz w:val="22"/>
          <w:szCs w:val="22"/>
        </w:rPr>
        <w:t xml:space="preserve"> </w:t>
      </w:r>
      <w:r w:rsidRPr="00D32D9D">
        <w:rPr>
          <w:sz w:val="22"/>
          <w:szCs w:val="22"/>
          <w:lang w:val="en-US"/>
        </w:rPr>
        <w:t xml:space="preserve">em local de crime que é fundamental que haja um método capaz de estabelecer uma relação unívoca entre os elementos em questão com capacidade de associar um extrato de DNA a um tecido específico, como saliva humana, fluido seminal, urina, fluido vaginal, sangue periférico e fluido menstrual. </w:t>
      </w:r>
      <w:r w:rsidRPr="00D32D9D">
        <w:rPr>
          <w:color w:val="131413"/>
          <w:sz w:val="22"/>
          <w:szCs w:val="22"/>
          <w:lang w:val="en-US"/>
        </w:rPr>
        <w:t xml:space="preserve">Além da análise </w:t>
      </w:r>
      <w:r w:rsidRPr="00D32D9D">
        <w:rPr>
          <w:sz w:val="22"/>
          <w:szCs w:val="22"/>
          <w:lang w:val="en-US"/>
        </w:rPr>
        <w:t xml:space="preserve">em amostra de 9 anos de idade submetida a tratamento químico para realçar a visualização </w:t>
      </w:r>
      <w:r w:rsidRPr="00D32D9D">
        <w:rPr>
          <w:sz w:val="22"/>
          <w:szCs w:val="22"/>
          <w:lang w:val="en-US"/>
        </w:rPr>
        <w:lastRenderedPageBreak/>
        <w:t>do sangue. Esta eficácia e impacto na prática forense acelera as investigações laboratoriais e fornece mais evidências confiáveis e informativas.</w:t>
      </w:r>
    </w:p>
    <w:p w14:paraId="197492A3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ind w:firstLine="720"/>
        <w:rPr>
          <w:color w:val="212121"/>
          <w:sz w:val="22"/>
          <w:szCs w:val="22"/>
          <w:lang w:val="pt-PT"/>
        </w:rPr>
      </w:pPr>
      <w:r w:rsidRPr="00D32D9D">
        <w:rPr>
          <w:color w:val="212121"/>
          <w:sz w:val="22"/>
          <w:szCs w:val="22"/>
          <w:shd w:val="clear" w:color="auto" w:fill="FFFFFF"/>
        </w:rPr>
        <w:t>Esse tipo de tecnologia também pode ser empregado na análise dos projetis de arma de fogo auxiliando a autópsia da Medicina Legal segundo</w:t>
      </w:r>
      <w:r w:rsidRPr="00D32D9D">
        <w:rPr>
          <w:sz w:val="22"/>
          <w:szCs w:val="22"/>
        </w:rPr>
        <w:t xml:space="preserve"> Dammeier et al. (2016)</w:t>
      </w:r>
      <w:r w:rsidRPr="00D32D9D">
        <w:rPr>
          <w:color w:val="212121"/>
          <w:sz w:val="22"/>
          <w:szCs w:val="22"/>
          <w:shd w:val="clear" w:color="auto" w:fill="FFFFFF"/>
        </w:rPr>
        <w:t xml:space="preserve">. </w:t>
      </w:r>
      <w:r w:rsidRPr="00D32D9D">
        <w:rPr>
          <w:sz w:val="22"/>
          <w:szCs w:val="22"/>
        </w:rPr>
        <w:t xml:space="preserve">Na Criminologia, no desenvolvimento de novos métodos diagnósticos e terapêuticos de doenças mentais como esquizofrenia e condições psiquiátricas. </w:t>
      </w:r>
      <w:r w:rsidRPr="00D32D9D">
        <w:rPr>
          <w:sz w:val="22"/>
          <w:szCs w:val="22"/>
          <w:lang w:val="en-US"/>
        </w:rPr>
        <w:t xml:space="preserve">Na toxicologia forense </w:t>
      </w:r>
      <w:r w:rsidRPr="00D32D9D">
        <w:rPr>
          <w:sz w:val="22"/>
          <w:szCs w:val="22"/>
        </w:rPr>
        <w:t>através de biomarcadores da eficácia e da toxicidade de drogas beneficiar no diagnóstico, na descoberta de fármacos e na elucidação de mecanismos da ação de drogas</w:t>
      </w:r>
      <w:r w:rsidRPr="00D32D9D">
        <w:rPr>
          <w:sz w:val="22"/>
          <w:szCs w:val="22"/>
          <w:lang w:val="en-US"/>
        </w:rPr>
        <w:t xml:space="preserve"> inclusive na análise do</w:t>
      </w:r>
      <w:r w:rsidRPr="00D32D9D">
        <w:rPr>
          <w:color w:val="FF0000"/>
          <w:sz w:val="22"/>
          <w:szCs w:val="22"/>
          <w:lang w:val="en-US"/>
        </w:rPr>
        <w:t xml:space="preserve"> </w:t>
      </w:r>
      <w:r w:rsidRPr="00D32D9D">
        <w:rPr>
          <w:sz w:val="22"/>
          <w:szCs w:val="22"/>
          <w:lang w:val="en-US"/>
        </w:rPr>
        <w:t>esmalte dentário em exposições a metais pesados e</w:t>
      </w:r>
      <w:r w:rsidRPr="00D32D9D">
        <w:rPr>
          <w:color w:val="FF0000"/>
          <w:sz w:val="22"/>
          <w:szCs w:val="22"/>
          <w:lang w:val="en-US"/>
        </w:rPr>
        <w:t xml:space="preserve"> </w:t>
      </w:r>
      <w:r w:rsidRPr="00D32D9D">
        <w:rPr>
          <w:sz w:val="22"/>
          <w:szCs w:val="22"/>
        </w:rPr>
        <w:t>intoxicação por metanol.</w:t>
      </w:r>
    </w:p>
    <w:p w14:paraId="282A3A6D" w14:textId="77777777" w:rsidR="00E83D33" w:rsidRDefault="00E83D33" w:rsidP="00E83D33">
      <w:pPr>
        <w:widowControl w:val="0"/>
        <w:autoSpaceDE w:val="0"/>
        <w:autoSpaceDN w:val="0"/>
        <w:adjustRightInd w:val="0"/>
        <w:spacing w:line="240" w:lineRule="auto"/>
        <w:ind w:right="-7" w:firstLine="720"/>
        <w:rPr>
          <w:color w:val="FF0000"/>
          <w:sz w:val="22"/>
          <w:szCs w:val="22"/>
        </w:rPr>
      </w:pPr>
      <w:r w:rsidRPr="00D32D9D">
        <w:rPr>
          <w:sz w:val="22"/>
          <w:szCs w:val="22"/>
          <w:lang w:val="en-US"/>
        </w:rPr>
        <w:t>A evolução de tecnologia avançada no estudo das proteínas humanas representa um recurso inestimável inclusive com importantes aplicações forenses</w:t>
      </w:r>
      <w:r w:rsidRPr="00D32D9D">
        <w:rPr>
          <w:sz w:val="22"/>
          <w:szCs w:val="22"/>
          <w:lang w:val="en-US" w:eastAsia="en-US"/>
        </w:rPr>
        <w:t xml:space="preserve"> na investigação e na prova criminal. </w:t>
      </w:r>
      <w:r w:rsidRPr="00D32D9D">
        <w:rPr>
          <w:sz w:val="22"/>
          <w:szCs w:val="22"/>
          <w:lang w:val="en-US"/>
        </w:rPr>
        <w:t>Este estudo aprofundado das proteínas pode auxiliar na identificação de</w:t>
      </w:r>
      <w:r w:rsidRPr="00D32D9D">
        <w:rPr>
          <w:sz w:val="22"/>
          <w:szCs w:val="22"/>
        </w:rPr>
        <w:t xml:space="preserve"> amostras biológicas </w:t>
      </w:r>
      <w:r w:rsidRPr="00D32D9D">
        <w:rPr>
          <w:sz w:val="22"/>
          <w:szCs w:val="22"/>
          <w:lang w:val="en-US"/>
        </w:rPr>
        <w:t>e diferenciação de fluidos corporais, tecidos e órgãos humanos encontrados em cenas de crimes</w:t>
      </w:r>
      <w:r w:rsidRPr="00D32D9D">
        <w:rPr>
          <w:sz w:val="22"/>
          <w:szCs w:val="22"/>
        </w:rPr>
        <w:t xml:space="preserve"> </w:t>
      </w:r>
      <w:r w:rsidRPr="00D32D9D">
        <w:rPr>
          <w:sz w:val="22"/>
          <w:szCs w:val="22"/>
          <w:lang w:val="en-US"/>
        </w:rPr>
        <w:t xml:space="preserve">através de uma </w:t>
      </w:r>
      <w:r w:rsidRPr="00D32D9D">
        <w:rPr>
          <w:sz w:val="22"/>
          <w:szCs w:val="22"/>
        </w:rPr>
        <w:t xml:space="preserve">análise conclusiva e em única etapa, onde hoje são aplicados diversos testes porém, </w:t>
      </w:r>
      <w:r w:rsidRPr="00D32D9D">
        <w:rPr>
          <w:sz w:val="22"/>
          <w:szCs w:val="22"/>
          <w:lang w:val="en-US"/>
        </w:rPr>
        <w:t>apenas</w:t>
      </w:r>
      <w:r w:rsidRPr="00D32D9D">
        <w:rPr>
          <w:sz w:val="22"/>
          <w:szCs w:val="22"/>
        </w:rPr>
        <w:t xml:space="preserve"> presuntivos</w:t>
      </w:r>
      <w:r w:rsidRPr="00D32D9D">
        <w:rPr>
          <w:sz w:val="22"/>
          <w:szCs w:val="22"/>
          <w:lang w:val="en-US"/>
        </w:rPr>
        <w:t>; Pode auxiliar nos exames de corpo de delito, inclusive toxicológico; Auxiliar no diagnóstico de doenças mentais em Criminologia, aumentando a confiabilidade nos resultados, e consequentemente, favorecendo a justiça; e auxiliar na área de Arqueologia e Antropologia Forense no estudo da evolução das espécies, na estimativa da ancestralidade, sexo, cor dos olhos e do cabelo graças à estabilidade e resistência de proteínas em condições degradantes o que contribui na identificação de corpos, ossadas e mesmo carbonizados.</w:t>
      </w:r>
      <w:r w:rsidRPr="00D32D9D">
        <w:rPr>
          <w:color w:val="FF0000"/>
          <w:sz w:val="22"/>
          <w:szCs w:val="22"/>
        </w:rPr>
        <w:t xml:space="preserve"> </w:t>
      </w:r>
    </w:p>
    <w:p w14:paraId="77103ED0" w14:textId="77777777" w:rsidR="00E83D33" w:rsidRPr="00D32D9D" w:rsidRDefault="00E83D33" w:rsidP="00E83D33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45469BE3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000000"/>
          <w:sz w:val="20"/>
          <w:szCs w:val="20"/>
          <w:lang w:val="en-US" w:eastAsia="en-US"/>
        </w:rPr>
      </w:pPr>
      <w:r>
        <w:rPr>
          <w:rFonts w:eastAsiaTheme="minorEastAsia"/>
          <w:color w:val="000000"/>
          <w:sz w:val="20"/>
          <w:szCs w:val="20"/>
          <w:lang w:val="en-US" w:eastAsia="en-US"/>
        </w:rPr>
        <w:t xml:space="preserve">1. </w:t>
      </w:r>
      <w:r w:rsidRPr="00D32D9D">
        <w:rPr>
          <w:rFonts w:eastAsiaTheme="minorEastAsia"/>
          <w:color w:val="000000"/>
          <w:sz w:val="20"/>
          <w:szCs w:val="20"/>
          <w:lang w:val="en-US" w:eastAsia="en-US"/>
        </w:rPr>
        <w:t xml:space="preserve">ABHILASH, M. </w:t>
      </w:r>
      <w:r w:rsidRPr="00051A70">
        <w:rPr>
          <w:rFonts w:eastAsiaTheme="minorEastAsia"/>
          <w:i/>
          <w:sz w:val="20"/>
          <w:szCs w:val="20"/>
          <w:lang w:val="en-US" w:eastAsia="en-US"/>
        </w:rPr>
        <w:t>Applications Of Proteomics</w:t>
      </w:r>
      <w:r w:rsidRPr="00051A70">
        <w:rPr>
          <w:rFonts w:eastAsiaTheme="minorEastAsia"/>
          <w:i/>
          <w:color w:val="000000"/>
          <w:sz w:val="20"/>
          <w:szCs w:val="20"/>
          <w:lang w:val="en-US" w:eastAsia="en-US"/>
        </w:rPr>
        <w:t>.</w:t>
      </w:r>
      <w:r w:rsidRPr="00D32D9D">
        <w:rPr>
          <w:rFonts w:eastAsiaTheme="minorEastAsia"/>
          <w:color w:val="000000"/>
          <w:sz w:val="20"/>
          <w:szCs w:val="20"/>
          <w:lang w:val="en-US" w:eastAsia="en-US"/>
        </w:rPr>
        <w:t xml:space="preserve"> The Internet Journal of Genomics and</w:t>
      </w:r>
    </w:p>
    <w:p w14:paraId="40D723B7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000000"/>
          <w:sz w:val="20"/>
          <w:szCs w:val="20"/>
          <w:lang w:val="en-US" w:eastAsia="en-US"/>
        </w:rPr>
      </w:pPr>
      <w:r w:rsidRPr="00D32D9D">
        <w:rPr>
          <w:rFonts w:eastAsiaTheme="minorEastAsia"/>
          <w:color w:val="000000"/>
          <w:sz w:val="20"/>
          <w:szCs w:val="20"/>
          <w:lang w:val="en-US" w:eastAsia="en-US"/>
        </w:rPr>
        <w:t>Proteomics, v.4, n.1, p. 01-07, 2009.</w:t>
      </w:r>
    </w:p>
    <w:p w14:paraId="1881EB90" w14:textId="77777777" w:rsidR="00E83D33" w:rsidRPr="00D32D9D" w:rsidRDefault="00E83D33" w:rsidP="00E83D33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2. </w:t>
      </w:r>
      <w:r w:rsidRPr="00D32D9D">
        <w:rPr>
          <w:sz w:val="20"/>
          <w:szCs w:val="20"/>
          <w:lang w:val="en-US"/>
        </w:rPr>
        <w:t xml:space="preserve">CAPPELLINI, E.; JENSEN, L.J.; SZKLARCZYK, D.; GINOLHAC, A.; DA FONSECA, R.A.; STAFFORD, T.W. et al. </w:t>
      </w:r>
      <w:r w:rsidRPr="00051A70">
        <w:rPr>
          <w:i/>
          <w:sz w:val="20"/>
          <w:szCs w:val="20"/>
        </w:rPr>
        <w:t>Proteomic analysis of a pleistocene mammoth femur reveals more than one hundred ancient bone proteins</w:t>
      </w:r>
      <w:r w:rsidRPr="00D32D9D">
        <w:rPr>
          <w:sz w:val="20"/>
          <w:szCs w:val="20"/>
        </w:rPr>
        <w:t xml:space="preserve">. </w:t>
      </w:r>
      <w:r w:rsidRPr="00D32D9D">
        <w:rPr>
          <w:sz w:val="20"/>
          <w:szCs w:val="20"/>
          <w:lang w:val="en-US"/>
        </w:rPr>
        <w:t>Journal of Proteome Research, v. 11, p. 917–926, 2012.</w:t>
      </w:r>
      <w:r w:rsidRPr="00D32D9D">
        <w:rPr>
          <w:sz w:val="20"/>
          <w:szCs w:val="20"/>
        </w:rPr>
        <w:t xml:space="preserve"> </w:t>
      </w:r>
    </w:p>
    <w:p w14:paraId="4B36C31C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3. </w:t>
      </w:r>
      <w:r w:rsidRPr="00D32D9D">
        <w:rPr>
          <w:color w:val="000000"/>
          <w:sz w:val="20"/>
          <w:szCs w:val="20"/>
          <w:lang w:val="en-US"/>
        </w:rPr>
        <w:t>DAMMEIER, S.; NAHNSEN, S.; VEIT, J.; WEHNER, F.; UEFFING, M.; KOHLBACHER, O.</w:t>
      </w:r>
      <w:r w:rsidRPr="00D32D9D">
        <w:rPr>
          <w:color w:val="082EFF"/>
          <w:sz w:val="20"/>
          <w:szCs w:val="20"/>
          <w:lang w:val="en-US"/>
        </w:rPr>
        <w:t xml:space="preserve"> </w:t>
      </w:r>
      <w:r w:rsidRPr="00051A70">
        <w:rPr>
          <w:i/>
          <w:sz w:val="20"/>
          <w:szCs w:val="20"/>
          <w:lang w:val="en-US"/>
        </w:rPr>
        <w:t>Mass-spectrometry-based proteomics reveals organ-specific expression patterns to be used as forensic evidence</w:t>
      </w:r>
      <w:r w:rsidRPr="00D32D9D">
        <w:rPr>
          <w:sz w:val="20"/>
          <w:szCs w:val="20"/>
        </w:rPr>
        <w:t xml:space="preserve">. </w:t>
      </w:r>
      <w:r w:rsidRPr="00D32D9D">
        <w:rPr>
          <w:sz w:val="20"/>
          <w:szCs w:val="20"/>
          <w:lang w:val="en-US"/>
        </w:rPr>
        <w:t xml:space="preserve">Journal of Proteome Research, Washington, v. 15, p. 182−192, 2016. </w:t>
      </w:r>
    </w:p>
    <w:p w14:paraId="0EE7F42C" w14:textId="77777777" w:rsidR="00E83D33" w:rsidRPr="00D32D9D" w:rsidRDefault="00E83D33" w:rsidP="00E83D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4. </w:t>
      </w:r>
      <w:r w:rsidRPr="00D32D9D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FUJIHARA, J.; FUJITA, Y.; YAMAMOTO, T.; NISHIMOTO, N.; KIMURA-KATAOKA, K.; KURATA, S. et al. </w:t>
      </w:r>
      <w:r w:rsidRPr="00051A70"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  <w:t>Blood identification and discrimination between human and nonhuman blood using portable Raman spectroscopy</w:t>
      </w:r>
      <w:r w:rsidRPr="00D32D9D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International Journal of Legal Medicine, v. 131, p. 319-322, 2017. </w:t>
      </w:r>
    </w:p>
    <w:p w14:paraId="738EFE25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5. </w:t>
      </w:r>
      <w:r w:rsidRPr="00D32D9D">
        <w:rPr>
          <w:sz w:val="20"/>
          <w:szCs w:val="20"/>
          <w:lang w:val="en-US"/>
        </w:rPr>
        <w:t xml:space="preserve">HÄGGMARK, A.; SCHWENK, J.M.; NILSSON, P. </w:t>
      </w:r>
      <w:r w:rsidRPr="00051A70">
        <w:rPr>
          <w:i/>
          <w:sz w:val="20"/>
          <w:szCs w:val="20"/>
          <w:lang w:val="en-US"/>
        </w:rPr>
        <w:t>Neuroproteomic profiling of human body fluids</w:t>
      </w:r>
      <w:r w:rsidRPr="00D32D9D">
        <w:rPr>
          <w:sz w:val="20"/>
          <w:szCs w:val="20"/>
          <w:lang w:val="en-US"/>
        </w:rPr>
        <w:t xml:space="preserve">. Proteomics - </w:t>
      </w:r>
      <w:r w:rsidRPr="00D32D9D">
        <w:rPr>
          <w:sz w:val="20"/>
          <w:szCs w:val="20"/>
        </w:rPr>
        <w:t xml:space="preserve">Clinical Applications. </w:t>
      </w:r>
      <w:r w:rsidRPr="00D32D9D">
        <w:rPr>
          <w:sz w:val="20"/>
          <w:szCs w:val="20"/>
          <w:lang w:val="en-US"/>
        </w:rPr>
        <w:t xml:space="preserve">v. 10, p. 485–502, 2016. </w:t>
      </w:r>
    </w:p>
    <w:p w14:paraId="4FB8BA31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</w:t>
      </w:r>
      <w:r w:rsidRPr="00D32D9D">
        <w:rPr>
          <w:sz w:val="20"/>
          <w:szCs w:val="20"/>
          <w:lang w:val="en-US"/>
        </w:rPr>
        <w:t xml:space="preserve">KIM, M.S.; PINTO, S.M.; GETNET, D. et al. </w:t>
      </w:r>
      <w:r w:rsidRPr="00051A70">
        <w:rPr>
          <w:i/>
          <w:sz w:val="20"/>
          <w:szCs w:val="20"/>
          <w:lang w:val="en-US"/>
        </w:rPr>
        <w:t>A draft map of the human proteome</w:t>
      </w:r>
      <w:r w:rsidRPr="00D32D9D">
        <w:rPr>
          <w:sz w:val="20"/>
          <w:szCs w:val="20"/>
          <w:lang w:val="en-US"/>
        </w:rPr>
        <w:t xml:space="preserve">. Nature, London, v. 509, p. 575-81, 2014. </w:t>
      </w:r>
    </w:p>
    <w:p w14:paraId="7CCBC13D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7. </w:t>
      </w:r>
      <w:r w:rsidRPr="00D32D9D">
        <w:rPr>
          <w:sz w:val="20"/>
          <w:szCs w:val="20"/>
          <w:lang w:val="en-US"/>
        </w:rPr>
        <w:t>MUÑOZ, J; HECK, A.J.R.</w:t>
      </w:r>
      <w:r w:rsidRPr="00D32D9D">
        <w:rPr>
          <w:sz w:val="20"/>
          <w:szCs w:val="20"/>
        </w:rPr>
        <w:t xml:space="preserve"> </w:t>
      </w:r>
      <w:r w:rsidRPr="00051A70">
        <w:rPr>
          <w:i/>
          <w:sz w:val="20"/>
          <w:szCs w:val="20"/>
          <w:lang w:val="en-US"/>
        </w:rPr>
        <w:t>From the human genome to the human proteome</w:t>
      </w:r>
      <w:r w:rsidRPr="00D32D9D">
        <w:rPr>
          <w:sz w:val="20"/>
          <w:szCs w:val="20"/>
          <w:lang w:val="en-US"/>
        </w:rPr>
        <w:t xml:space="preserve">. Angewandte </w:t>
      </w:r>
      <w:r w:rsidRPr="00D32D9D">
        <w:rPr>
          <w:sz w:val="20"/>
          <w:szCs w:val="20"/>
        </w:rPr>
        <w:t xml:space="preserve">Angewandte Chemie International Edition, </w:t>
      </w:r>
      <w:r w:rsidRPr="00D32D9D">
        <w:rPr>
          <w:sz w:val="20"/>
          <w:szCs w:val="20"/>
          <w:lang w:val="en-US"/>
        </w:rPr>
        <w:t xml:space="preserve">v. 53, p. 10864 – 10866, 2014. </w:t>
      </w:r>
    </w:p>
    <w:p w14:paraId="2FC14064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color w:val="131413"/>
          <w:sz w:val="20"/>
          <w:szCs w:val="20"/>
          <w:lang w:val="en-US"/>
        </w:rPr>
      </w:pPr>
      <w:r>
        <w:rPr>
          <w:color w:val="131413"/>
          <w:sz w:val="20"/>
          <w:szCs w:val="20"/>
          <w:lang w:val="en-US"/>
        </w:rPr>
        <w:t xml:space="preserve">8. </w:t>
      </w:r>
      <w:r w:rsidRPr="00D32D9D">
        <w:rPr>
          <w:color w:val="131413"/>
          <w:sz w:val="20"/>
          <w:szCs w:val="20"/>
          <w:lang w:val="en-US"/>
        </w:rPr>
        <w:t xml:space="preserve">STEENDAM, K.V.; CEULENEER, M.D.; DHAENENS, M.; HOOFSTAT, D.V.; DEFORCE, D. </w:t>
      </w:r>
      <w:r w:rsidRPr="00051A70">
        <w:rPr>
          <w:i/>
          <w:color w:val="131413"/>
          <w:sz w:val="20"/>
          <w:szCs w:val="20"/>
          <w:lang w:val="en-US"/>
        </w:rPr>
        <w:t>Mass spectrometry-based proteomics as a tool to identify biological matrices in forensic science</w:t>
      </w:r>
      <w:r w:rsidRPr="00D32D9D">
        <w:rPr>
          <w:color w:val="131413"/>
          <w:sz w:val="20"/>
          <w:szCs w:val="20"/>
          <w:lang w:val="en-US"/>
        </w:rPr>
        <w:t xml:space="preserve">. International Journal of Legal Medicine, Washington, v. 127, p. 287–298, 2013. </w:t>
      </w:r>
    </w:p>
    <w:p w14:paraId="23D0004A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color w:val="000000"/>
          <w:sz w:val="20"/>
          <w:szCs w:val="20"/>
          <w:lang w:val="en-US" w:eastAsia="en-US"/>
        </w:rPr>
      </w:pPr>
      <w:r>
        <w:rPr>
          <w:rFonts w:eastAsiaTheme="minorEastAsia"/>
          <w:color w:val="000000"/>
          <w:sz w:val="20"/>
          <w:szCs w:val="20"/>
          <w:lang w:val="en-US" w:eastAsia="en-US"/>
        </w:rPr>
        <w:t xml:space="preserve">9. </w:t>
      </w:r>
      <w:r w:rsidRPr="00D32D9D">
        <w:rPr>
          <w:rFonts w:eastAsiaTheme="minorEastAsia"/>
          <w:color w:val="000000"/>
          <w:sz w:val="20"/>
          <w:szCs w:val="20"/>
          <w:lang w:val="en-US" w:eastAsia="en-US"/>
        </w:rPr>
        <w:t xml:space="preserve">TYERS, M.; MANN, M. </w:t>
      </w:r>
      <w:r w:rsidRPr="00051A70">
        <w:rPr>
          <w:rFonts w:eastAsiaTheme="minorEastAsia"/>
          <w:i/>
          <w:color w:val="000000"/>
          <w:sz w:val="20"/>
          <w:szCs w:val="20"/>
          <w:lang w:val="en-US" w:eastAsia="en-US"/>
        </w:rPr>
        <w:t>From genomics to proteomics</w:t>
      </w:r>
      <w:r w:rsidRPr="00D32D9D">
        <w:rPr>
          <w:rFonts w:eastAsiaTheme="minorEastAsia"/>
          <w:color w:val="000000"/>
          <w:sz w:val="20"/>
          <w:szCs w:val="20"/>
          <w:lang w:val="en-US" w:eastAsia="en-US"/>
        </w:rPr>
        <w:t>. Nature, Londres, v. 422, p. 193-197, 2003</w:t>
      </w:r>
      <w:r w:rsidRPr="00D32D9D">
        <w:rPr>
          <w:rFonts w:eastAsiaTheme="minorEastAsia"/>
          <w:sz w:val="20"/>
          <w:szCs w:val="20"/>
          <w:lang w:val="en-US" w:eastAsia="en-US"/>
        </w:rPr>
        <w:t xml:space="preserve">. </w:t>
      </w:r>
    </w:p>
    <w:p w14:paraId="7DA7E70D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10. </w:t>
      </w:r>
      <w:r w:rsidRPr="00D32D9D">
        <w:rPr>
          <w:sz w:val="20"/>
          <w:szCs w:val="20"/>
          <w:lang w:val="en-US"/>
        </w:rPr>
        <w:t xml:space="preserve">UHLÉN, M.; FAGERBERG, L.; HALLSTRÖM, B.M.; LINDSKOG, C.; OKSVOLD, P.; MARDINOGLU, A. et al. </w:t>
      </w:r>
      <w:r w:rsidRPr="00051A70">
        <w:rPr>
          <w:i/>
          <w:sz w:val="20"/>
          <w:szCs w:val="20"/>
          <w:lang w:val="en-US"/>
        </w:rPr>
        <w:t>Tissue-based map of the human proteome</w:t>
      </w:r>
      <w:r w:rsidRPr="00D32D9D">
        <w:rPr>
          <w:sz w:val="20"/>
          <w:szCs w:val="20"/>
          <w:lang w:val="en-US"/>
        </w:rPr>
        <w:t xml:space="preserve">. Science, Washington. v. 347, n. 6220, p. 1260419-1 –9, 2015. </w:t>
      </w:r>
    </w:p>
    <w:p w14:paraId="2D57EB90" w14:textId="77777777" w:rsidR="00E83D33" w:rsidRPr="00D32D9D" w:rsidRDefault="00E83D33" w:rsidP="00E83D33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11. </w:t>
      </w:r>
      <w:r w:rsidRPr="00D32D9D">
        <w:rPr>
          <w:sz w:val="20"/>
          <w:szCs w:val="20"/>
          <w:lang w:val="en-US"/>
        </w:rPr>
        <w:t xml:space="preserve">WADSWORTH, C.; BUCKLEY, M. </w:t>
      </w:r>
      <w:r w:rsidRPr="00051A70">
        <w:rPr>
          <w:i/>
          <w:sz w:val="20"/>
          <w:szCs w:val="20"/>
          <w:lang w:val="en-US"/>
        </w:rPr>
        <w:t>Proteome degradation in fossils: investigating the longevity of protein survival in ancient bone</w:t>
      </w:r>
      <w:r w:rsidRPr="00D32D9D">
        <w:rPr>
          <w:sz w:val="20"/>
          <w:szCs w:val="20"/>
          <w:lang w:val="en-US"/>
        </w:rPr>
        <w:t xml:space="preserve">. Rapid Communications in Mass Spectrometry, v. 28, p. 605–615, 2014. </w:t>
      </w:r>
    </w:p>
    <w:p w14:paraId="20F4C74F" w14:textId="77777777" w:rsidR="00E83D33" w:rsidRPr="00D32D9D" w:rsidRDefault="00E83D33" w:rsidP="00E83D3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12. </w:t>
      </w:r>
      <w:r w:rsidRPr="00D32D9D">
        <w:rPr>
          <w:sz w:val="20"/>
          <w:szCs w:val="20"/>
          <w:lang w:val="en-US"/>
        </w:rPr>
        <w:t xml:space="preserve">WILHELM, M.; SCHLEGL, J.; HAHNE, H. et al. </w:t>
      </w:r>
      <w:r w:rsidRPr="00051A70">
        <w:rPr>
          <w:i/>
          <w:sz w:val="20"/>
          <w:szCs w:val="20"/>
          <w:lang w:val="en-US"/>
        </w:rPr>
        <w:t>Mass-spectrometry-based draft of the human proteome</w:t>
      </w:r>
      <w:r w:rsidRPr="00D32D9D">
        <w:rPr>
          <w:sz w:val="20"/>
          <w:szCs w:val="20"/>
          <w:lang w:val="en-US"/>
        </w:rPr>
        <w:t>. Nature, London. v. 509, p. 582-7, 2014.</w:t>
      </w:r>
    </w:p>
    <w:p w14:paraId="3C930FB4" w14:textId="01D185CF" w:rsidR="001D2633" w:rsidRPr="00BD2918" w:rsidRDefault="001D2633" w:rsidP="00E83D33">
      <w:pPr>
        <w:spacing w:line="240" w:lineRule="auto"/>
        <w:ind w:firstLine="720"/>
        <w:rPr>
          <w:sz w:val="20"/>
          <w:szCs w:val="22"/>
        </w:rPr>
      </w:pPr>
    </w:p>
    <w:sectPr w:rsidR="001D2633" w:rsidRPr="00BD2918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51B7" w14:textId="77777777" w:rsidR="00F42EBD" w:rsidRDefault="00F42EBD" w:rsidP="003752F7">
      <w:pPr>
        <w:spacing w:line="240" w:lineRule="auto"/>
      </w:pPr>
      <w:r>
        <w:separator/>
      </w:r>
    </w:p>
  </w:endnote>
  <w:endnote w:type="continuationSeparator" w:id="0">
    <w:p w14:paraId="64FD64D8" w14:textId="77777777" w:rsidR="00F42EBD" w:rsidRDefault="00F42EB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CF4AB2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3A55BC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44717C95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866B" w14:textId="77777777" w:rsidR="00F42EBD" w:rsidRDefault="00F42EBD" w:rsidP="003752F7">
      <w:pPr>
        <w:spacing w:line="240" w:lineRule="auto"/>
      </w:pPr>
      <w:r>
        <w:separator/>
      </w:r>
    </w:p>
  </w:footnote>
  <w:footnote w:type="continuationSeparator" w:id="0">
    <w:p w14:paraId="4C906EF9" w14:textId="77777777" w:rsidR="00F42EBD" w:rsidRDefault="00F42EB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8AA3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14:paraId="30A85A25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4597097E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4E540EA0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1A70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077F"/>
    <w:rsid w:val="0034706C"/>
    <w:rsid w:val="00353468"/>
    <w:rsid w:val="00357D88"/>
    <w:rsid w:val="00372A5D"/>
    <w:rsid w:val="003752F7"/>
    <w:rsid w:val="0037720B"/>
    <w:rsid w:val="00382120"/>
    <w:rsid w:val="003928AB"/>
    <w:rsid w:val="003A55BC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64698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39AD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25BE9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0455"/>
    <w:rsid w:val="00B21E36"/>
    <w:rsid w:val="00B2671D"/>
    <w:rsid w:val="00B30B26"/>
    <w:rsid w:val="00B32F1D"/>
    <w:rsid w:val="00B33D8A"/>
    <w:rsid w:val="00B4274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716A6"/>
    <w:rsid w:val="00E83D33"/>
    <w:rsid w:val="00E97951"/>
    <w:rsid w:val="00E979DF"/>
    <w:rsid w:val="00EA3AA3"/>
    <w:rsid w:val="00EA47BE"/>
    <w:rsid w:val="00EA4AD4"/>
    <w:rsid w:val="00EC6C1D"/>
    <w:rsid w:val="00EE266E"/>
    <w:rsid w:val="00EE4B76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44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83D3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83D3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30CC-9975-4E93-803B-B716ACC6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2017-07-20T13:32:00Z</dcterms:created>
  <dcterms:modified xsi:type="dcterms:W3CDTF">2017-07-20T13:32:00Z</dcterms:modified>
</cp:coreProperties>
</file>