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33" w:rsidRDefault="00F5063F" w:rsidP="00F64192">
      <w:pPr>
        <w:spacing w:line="240" w:lineRule="auto"/>
        <w:jc w:val="center"/>
        <w:rPr>
          <w:b/>
        </w:rPr>
      </w:pPr>
      <w:r w:rsidRPr="00F5063F">
        <w:rPr>
          <w:b/>
        </w:rPr>
        <w:t xml:space="preserve">Método probabilístico para detecção de </w:t>
      </w:r>
      <w:proofErr w:type="spellStart"/>
      <w:r w:rsidRPr="00F5063F">
        <w:rPr>
          <w:b/>
        </w:rPr>
        <w:t>sobrepreços</w:t>
      </w:r>
      <w:proofErr w:type="spellEnd"/>
      <w:r w:rsidRPr="00F5063F">
        <w:rPr>
          <w:b/>
        </w:rPr>
        <w:t xml:space="preserve"> em obras </w:t>
      </w:r>
      <w:r w:rsidR="003D2EB7">
        <w:rPr>
          <w:b/>
        </w:rPr>
        <w:t>públicas</w:t>
      </w:r>
    </w:p>
    <w:p w:rsidR="00F5063F" w:rsidRPr="00F5063F" w:rsidRDefault="00F5063F" w:rsidP="00824730">
      <w:pPr>
        <w:spacing w:line="240" w:lineRule="auto"/>
        <w:jc w:val="left"/>
        <w:rPr>
          <w:sz w:val="12"/>
          <w:szCs w:val="12"/>
        </w:rPr>
      </w:pPr>
    </w:p>
    <w:p w:rsidR="006B0CC4" w:rsidRPr="00FC71F5" w:rsidRDefault="006B0CC4" w:rsidP="00824730">
      <w:pPr>
        <w:spacing w:line="240" w:lineRule="auto"/>
        <w:jc w:val="center"/>
      </w:pPr>
      <w:bookmarkStart w:id="0" w:name="_GoBack"/>
      <w:bookmarkEnd w:id="0"/>
    </w:p>
    <w:p w:rsidR="00A832AC" w:rsidRPr="00B0025F" w:rsidRDefault="00F5063F" w:rsidP="00051A3B">
      <w:pPr>
        <w:spacing w:line="240" w:lineRule="auto"/>
        <w:ind w:firstLine="851"/>
        <w:rPr>
          <w:szCs w:val="22"/>
        </w:rPr>
      </w:pPr>
      <w:r w:rsidRPr="00B0025F">
        <w:rPr>
          <w:szCs w:val="22"/>
        </w:rPr>
        <w:t>A perícia c</w:t>
      </w:r>
      <w:r w:rsidR="00C9553F" w:rsidRPr="00B0025F">
        <w:rPr>
          <w:szCs w:val="22"/>
        </w:rPr>
        <w:t>riminal brasileira materializa eventuais</w:t>
      </w:r>
      <w:r w:rsidRPr="00B0025F">
        <w:rPr>
          <w:szCs w:val="22"/>
        </w:rPr>
        <w:t xml:space="preserve"> </w:t>
      </w:r>
      <w:proofErr w:type="spellStart"/>
      <w:r w:rsidRPr="00B0025F">
        <w:rPr>
          <w:szCs w:val="22"/>
        </w:rPr>
        <w:t>s</w:t>
      </w:r>
      <w:r w:rsidR="00A832AC" w:rsidRPr="00B0025F">
        <w:rPr>
          <w:szCs w:val="22"/>
        </w:rPr>
        <w:t>obrepreço</w:t>
      </w:r>
      <w:r w:rsidR="00C9553F" w:rsidRPr="00B0025F">
        <w:rPr>
          <w:szCs w:val="22"/>
        </w:rPr>
        <w:t>s</w:t>
      </w:r>
      <w:proofErr w:type="spellEnd"/>
      <w:r w:rsidR="00C9553F" w:rsidRPr="00B0025F">
        <w:rPr>
          <w:szCs w:val="22"/>
        </w:rPr>
        <w:t xml:space="preserve"> em obras públicas por meio de</w:t>
      </w:r>
      <w:r w:rsidRPr="00B0025F">
        <w:rPr>
          <w:szCs w:val="22"/>
        </w:rPr>
        <w:t xml:space="preserve"> uma abordagem determinística, em que o preço pago </w:t>
      </w:r>
      <w:r w:rsidR="00C9553F" w:rsidRPr="00B0025F">
        <w:rPr>
          <w:szCs w:val="22"/>
        </w:rPr>
        <w:t>pela</w:t>
      </w:r>
      <w:r w:rsidRPr="00B0025F">
        <w:rPr>
          <w:szCs w:val="22"/>
        </w:rPr>
        <w:t xml:space="preserve"> obra</w:t>
      </w:r>
      <w:r w:rsidR="00C9553F" w:rsidRPr="00B0025F">
        <w:rPr>
          <w:szCs w:val="22"/>
        </w:rPr>
        <w:t xml:space="preserve"> </w:t>
      </w:r>
      <w:proofErr w:type="spellStart"/>
      <w:r w:rsidR="00C9553F" w:rsidRPr="00B0025F">
        <w:rPr>
          <w:szCs w:val="22"/>
        </w:rPr>
        <w:t>pericianda</w:t>
      </w:r>
      <w:proofErr w:type="spellEnd"/>
      <w:r w:rsidRPr="00B0025F">
        <w:rPr>
          <w:szCs w:val="22"/>
        </w:rPr>
        <w:t xml:space="preserve"> é comparado aos preços constantes em bases de dados oficiais</w:t>
      </w:r>
      <w:r w:rsidR="00F86639" w:rsidRPr="00B0025F">
        <w:rPr>
          <w:szCs w:val="22"/>
        </w:rPr>
        <w:t xml:space="preserve"> (Figura 1)</w:t>
      </w:r>
      <w:r w:rsidRPr="00B0025F">
        <w:rPr>
          <w:szCs w:val="22"/>
        </w:rPr>
        <w:t xml:space="preserve">. Entretanto, é comum que os investigados aleguem que as obras objeto dos exames têm particularidades que as tornaram mais caras e, portanto, as excluem da regra comum. Como não </w:t>
      </w:r>
      <w:r w:rsidR="00A832AC" w:rsidRPr="00B0025F">
        <w:rPr>
          <w:szCs w:val="22"/>
        </w:rPr>
        <w:t>têm conhecimento específico na área</w:t>
      </w:r>
      <w:r w:rsidRPr="00B0025F">
        <w:rPr>
          <w:szCs w:val="22"/>
        </w:rPr>
        <w:t xml:space="preserve">, os juízes </w:t>
      </w:r>
      <w:r w:rsidR="00A832AC" w:rsidRPr="00B0025F">
        <w:rPr>
          <w:szCs w:val="22"/>
        </w:rPr>
        <w:t xml:space="preserve">tendem a </w:t>
      </w:r>
      <w:r w:rsidRPr="00B0025F">
        <w:rPr>
          <w:szCs w:val="22"/>
        </w:rPr>
        <w:t xml:space="preserve">considerar a </w:t>
      </w:r>
      <w:r w:rsidR="00A832AC" w:rsidRPr="00B0025F">
        <w:rPr>
          <w:szCs w:val="22"/>
        </w:rPr>
        <w:t>possibilidade das alegadas diferenças levarem a condenaç</w:t>
      </w:r>
      <w:r w:rsidR="00676FE4" w:rsidRPr="00B0025F">
        <w:rPr>
          <w:szCs w:val="22"/>
        </w:rPr>
        <w:t>ões</w:t>
      </w:r>
      <w:r w:rsidR="00A832AC" w:rsidRPr="00B0025F">
        <w:rPr>
          <w:szCs w:val="22"/>
        </w:rPr>
        <w:t xml:space="preserve"> injusta</w:t>
      </w:r>
      <w:r w:rsidR="00676FE4" w:rsidRPr="00B0025F">
        <w:rPr>
          <w:szCs w:val="22"/>
        </w:rPr>
        <w:t>s e</w:t>
      </w:r>
      <w:r w:rsidRPr="00B0025F">
        <w:rPr>
          <w:szCs w:val="22"/>
        </w:rPr>
        <w:t xml:space="preserve">, </w:t>
      </w:r>
      <w:r w:rsidR="00676FE4" w:rsidRPr="00B0025F">
        <w:rPr>
          <w:szCs w:val="22"/>
        </w:rPr>
        <w:t>assim,</w:t>
      </w:r>
      <w:r w:rsidRPr="00B0025F">
        <w:rPr>
          <w:szCs w:val="22"/>
        </w:rPr>
        <w:t xml:space="preserve"> </w:t>
      </w:r>
      <w:r w:rsidR="00676FE4" w:rsidRPr="00B0025F">
        <w:rPr>
          <w:szCs w:val="22"/>
        </w:rPr>
        <w:t>a</w:t>
      </w:r>
      <w:r w:rsidRPr="00B0025F">
        <w:rPr>
          <w:szCs w:val="22"/>
        </w:rPr>
        <w:t xml:space="preserve"> aplica</w:t>
      </w:r>
      <w:r w:rsidR="00676FE4" w:rsidRPr="00B0025F">
        <w:rPr>
          <w:szCs w:val="22"/>
        </w:rPr>
        <w:t xml:space="preserve">r </w:t>
      </w:r>
      <w:r w:rsidRPr="00B0025F">
        <w:rPr>
          <w:szCs w:val="22"/>
        </w:rPr>
        <w:t xml:space="preserve">o princípio </w:t>
      </w:r>
      <w:r w:rsidR="00A832AC" w:rsidRPr="00B0025F">
        <w:rPr>
          <w:i/>
          <w:szCs w:val="22"/>
        </w:rPr>
        <w:t>in</w:t>
      </w:r>
      <w:r w:rsidRPr="00B0025F">
        <w:rPr>
          <w:i/>
          <w:szCs w:val="22"/>
        </w:rPr>
        <w:t xml:space="preserve"> dubio pro reo</w:t>
      </w:r>
      <w:r w:rsidR="00676FE4" w:rsidRPr="00B0025F">
        <w:rPr>
          <w:szCs w:val="22"/>
        </w:rPr>
        <w:t>.</w:t>
      </w:r>
      <w:r w:rsidR="00CD6CFC" w:rsidRPr="00B0025F">
        <w:rPr>
          <w:szCs w:val="22"/>
        </w:rPr>
        <w:t xml:space="preserve"> </w:t>
      </w:r>
      <w:r w:rsidR="000441CC" w:rsidRPr="00B0025F">
        <w:rPr>
          <w:szCs w:val="22"/>
        </w:rPr>
        <w:t>Nestes casos, a Justiça acaba aceitando como usuais os</w:t>
      </w:r>
      <w:r w:rsidR="00CD6CFC" w:rsidRPr="00B0025F">
        <w:rPr>
          <w:szCs w:val="22"/>
        </w:rPr>
        <w:t xml:space="preserve"> </w:t>
      </w:r>
      <w:proofErr w:type="spellStart"/>
      <w:r w:rsidR="00CD6CFC" w:rsidRPr="00B0025F">
        <w:rPr>
          <w:szCs w:val="22"/>
        </w:rPr>
        <w:t>sobrepreços</w:t>
      </w:r>
      <w:proofErr w:type="spellEnd"/>
      <w:r w:rsidR="00CD6CFC" w:rsidRPr="00B0025F">
        <w:rPr>
          <w:szCs w:val="22"/>
        </w:rPr>
        <w:t xml:space="preserve"> apontados como irregulares pelos Peritos.</w:t>
      </w:r>
    </w:p>
    <w:p w:rsidR="00042BBF" w:rsidRPr="004A22EC" w:rsidRDefault="00042BBF" w:rsidP="00042BBF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434960C" wp14:editId="606D0DF1">
            <wp:extent cx="4320000" cy="2160000"/>
            <wp:effectExtent l="0" t="0" r="444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2BBF" w:rsidRDefault="00042BBF" w:rsidP="00042BBF">
      <w:pPr>
        <w:spacing w:line="240" w:lineRule="auto"/>
        <w:jc w:val="center"/>
      </w:pPr>
      <w:r w:rsidRPr="00007C0D">
        <w:rPr>
          <w:b/>
        </w:rPr>
        <w:t>Figura 1.</w:t>
      </w:r>
      <w:r>
        <w:t xml:space="preserve"> Abordagem determinística.</w:t>
      </w:r>
    </w:p>
    <w:p w:rsidR="00042BBF" w:rsidRDefault="00042BBF" w:rsidP="00042BBF">
      <w:pPr>
        <w:spacing w:line="240" w:lineRule="auto"/>
        <w:ind w:firstLine="851"/>
        <w:rPr>
          <w:sz w:val="22"/>
          <w:szCs w:val="22"/>
        </w:rPr>
      </w:pPr>
    </w:p>
    <w:p w:rsidR="00042BBF" w:rsidRPr="00B0025F" w:rsidRDefault="000441CC" w:rsidP="00042BBF">
      <w:pPr>
        <w:spacing w:line="240" w:lineRule="auto"/>
        <w:ind w:firstLine="851"/>
      </w:pPr>
      <w:r w:rsidRPr="00B0025F">
        <w:t>Embora</w:t>
      </w:r>
      <w:r w:rsidR="00CD6CFC" w:rsidRPr="00B0025F">
        <w:t xml:space="preserve"> esta abordagem determinística – detalhadamente desc</w:t>
      </w:r>
      <w:r w:rsidRPr="00B0025F">
        <w:t>rita por Lopes [1] – não costume</w:t>
      </w:r>
      <w:r w:rsidR="00CD6CFC" w:rsidRPr="00B0025F">
        <w:t xml:space="preserve"> ser tema de estudos c</w:t>
      </w:r>
      <w:r w:rsidRPr="00B0025F">
        <w:t>ientíficos que a validem, deve-se destacar que</w:t>
      </w:r>
      <w:r w:rsidR="00CD6CFC" w:rsidRPr="00B0025F">
        <w:t xml:space="preserve"> sua segurança contra conclusões indevidas </w:t>
      </w:r>
      <w:r w:rsidRPr="00B0025F">
        <w:t>já foi</w:t>
      </w:r>
      <w:r w:rsidR="00CD6CFC" w:rsidRPr="00B0025F">
        <w:t xml:space="preserve"> demonstrada por </w:t>
      </w:r>
      <w:proofErr w:type="spellStart"/>
      <w:r w:rsidR="00CD6CFC" w:rsidRPr="00B0025F">
        <w:t>Signor</w:t>
      </w:r>
      <w:proofErr w:type="spellEnd"/>
      <w:r w:rsidR="00CD6CFC" w:rsidRPr="00B0025F">
        <w:t xml:space="preserve"> </w:t>
      </w:r>
      <w:proofErr w:type="gramStart"/>
      <w:r w:rsidR="00CD6CFC" w:rsidRPr="00B0025F">
        <w:t>et</w:t>
      </w:r>
      <w:proofErr w:type="gramEnd"/>
      <w:r w:rsidR="00CD6CFC" w:rsidRPr="00B0025F">
        <w:t xml:space="preserve"> al. [2]. </w:t>
      </w:r>
      <w:r w:rsidR="00C9553F" w:rsidRPr="00B0025F">
        <w:t>Entretanto, a</w:t>
      </w:r>
      <w:r w:rsidR="00042BBF" w:rsidRPr="00B0025F">
        <w:t xml:space="preserve"> busca incessante pelo fortalecimento das provas é necessária para que se verifiquem os requisitos básicos para a sua validade</w:t>
      </w:r>
      <w:r w:rsidR="00C9553F" w:rsidRPr="00B0025F">
        <w:t>. Tais requisitos estão descritos</w:t>
      </w:r>
      <w:r w:rsidR="00042BBF" w:rsidRPr="00B0025F">
        <w:t>, por exemplo</w:t>
      </w:r>
      <w:r w:rsidR="00C9553F" w:rsidRPr="00B0025F">
        <w:t>,</w:t>
      </w:r>
      <w:r w:rsidR="00042BBF" w:rsidRPr="00B0025F">
        <w:t xml:space="preserve"> em importante decisão da Suprema Corte americana no caso </w:t>
      </w:r>
      <w:proofErr w:type="spellStart"/>
      <w:r w:rsidR="00042BBF" w:rsidRPr="00B0025F">
        <w:t>Daubert</w:t>
      </w:r>
      <w:proofErr w:type="spellEnd"/>
      <w:r w:rsidR="00042BBF" w:rsidRPr="00B0025F">
        <w:t xml:space="preserve"> v. </w:t>
      </w:r>
      <w:proofErr w:type="spellStart"/>
      <w:r w:rsidR="00042BBF" w:rsidRPr="00B0025F">
        <w:t>Merrell</w:t>
      </w:r>
      <w:proofErr w:type="spellEnd"/>
      <w:r w:rsidR="00042BBF" w:rsidRPr="00B0025F">
        <w:t xml:space="preserve"> Dow </w:t>
      </w:r>
      <w:proofErr w:type="spellStart"/>
      <w:r w:rsidR="00042BBF" w:rsidRPr="00B0025F">
        <w:t>Pharmaceuticals</w:t>
      </w:r>
      <w:proofErr w:type="spellEnd"/>
      <w:r w:rsidR="00042BBF" w:rsidRPr="00B0025F">
        <w:t>, Inc. (509 U.S. 579, 1993) [3]: a teoria ou técnica deve resultar de conhecimento científico previamente testado e passível de novos testes; deve ter sido submetida à revisão dos pares e publicação; e no caso de técnica científica específica, sua taxa potencial de erro deve ser conhecida.</w:t>
      </w:r>
    </w:p>
    <w:p w:rsidR="00064AB2" w:rsidRPr="00B0025F" w:rsidRDefault="008D0E6D" w:rsidP="00051A3B">
      <w:pPr>
        <w:spacing w:line="240" w:lineRule="auto"/>
        <w:ind w:firstLine="851"/>
      </w:pPr>
      <w:r>
        <w:t>B</w:t>
      </w:r>
      <w:r w:rsidR="00A832AC" w:rsidRPr="00B0025F">
        <w:t xml:space="preserve">uscando </w:t>
      </w:r>
      <w:r w:rsidR="00064AB2" w:rsidRPr="00B0025F">
        <w:t xml:space="preserve">fortalecer as provas da prática aparentemente generalizada de superfaturamento de obras públicas no Brasil, este artigo </w:t>
      </w:r>
      <w:r w:rsidR="00A832AC" w:rsidRPr="00B0025F">
        <w:t xml:space="preserve">introduz </w:t>
      </w:r>
      <w:r w:rsidR="00F5063F" w:rsidRPr="00B0025F">
        <w:t>um método probabilístico inovador e</w:t>
      </w:r>
      <w:r w:rsidR="00C9553F" w:rsidRPr="00B0025F">
        <w:t xml:space="preserve"> cientificamente</w:t>
      </w:r>
      <w:r w:rsidR="00F5063F" w:rsidRPr="00B0025F">
        <w:t xml:space="preserve"> robusto</w:t>
      </w:r>
      <w:r>
        <w:t xml:space="preserve"> </w:t>
      </w:r>
      <w:r w:rsidR="00CD6CFC" w:rsidRPr="00B0025F">
        <w:t>[4]</w:t>
      </w:r>
      <w:r w:rsidR="00C9553F" w:rsidRPr="00B0025F">
        <w:t>. O método se vale de</w:t>
      </w:r>
      <w:r w:rsidR="00F5063F" w:rsidRPr="00B0025F">
        <w:t xml:space="preserve"> ajuste</w:t>
      </w:r>
      <w:r w:rsidR="00A832AC" w:rsidRPr="00B0025F">
        <w:t>s</w:t>
      </w:r>
      <w:r w:rsidR="00F5063F" w:rsidRPr="00B0025F">
        <w:t xml:space="preserve"> de distribuição</w:t>
      </w:r>
      <w:r w:rsidR="00A832AC" w:rsidRPr="00B0025F">
        <w:t xml:space="preserve"> </w:t>
      </w:r>
      <w:proofErr w:type="gramStart"/>
      <w:r w:rsidR="00A832AC" w:rsidRPr="00B0025F">
        <w:t>estatística</w:t>
      </w:r>
      <w:r w:rsidR="00F5063F" w:rsidRPr="00B0025F">
        <w:t xml:space="preserve"> </w:t>
      </w:r>
      <w:r w:rsidR="00C9553F" w:rsidRPr="00B0025F">
        <w:t>gerados</w:t>
      </w:r>
      <w:proofErr w:type="gramEnd"/>
      <w:r w:rsidR="00C9553F" w:rsidRPr="00B0025F">
        <w:t xml:space="preserve"> a partir de</w:t>
      </w:r>
      <w:r w:rsidR="00F5063F" w:rsidRPr="00B0025F">
        <w:t xml:space="preserve"> dados </w:t>
      </w:r>
      <w:r w:rsidR="00A832AC" w:rsidRPr="00B0025F">
        <w:t xml:space="preserve">coletados em obra </w:t>
      </w:r>
      <w:r w:rsidR="00042BBF" w:rsidRPr="00B0025F">
        <w:t xml:space="preserve">pelo SINAPI </w:t>
      </w:r>
      <w:r w:rsidR="00A832AC" w:rsidRPr="00B0025F">
        <w:t xml:space="preserve">e </w:t>
      </w:r>
      <w:r w:rsidR="00C9553F" w:rsidRPr="00B0025F">
        <w:t xml:space="preserve">de </w:t>
      </w:r>
      <w:r w:rsidR="00A832AC" w:rsidRPr="00B0025F">
        <w:t>pesquisas de preços feitas</w:t>
      </w:r>
      <w:r w:rsidR="00042BBF" w:rsidRPr="00B0025F">
        <w:t xml:space="preserve"> em todo o Brasil</w:t>
      </w:r>
      <w:r w:rsidR="00A832AC" w:rsidRPr="00B0025F">
        <w:t xml:space="preserve"> pelo IBGE</w:t>
      </w:r>
      <w:r>
        <w:t xml:space="preserve"> para, a partir destes dados, calcular distribuições de probabilidade para os preços de obras de engenharia</w:t>
      </w:r>
      <w:r w:rsidR="00F5063F" w:rsidRPr="00B0025F">
        <w:t xml:space="preserve">. </w:t>
      </w:r>
      <w:r w:rsidR="00A832AC" w:rsidRPr="00B0025F">
        <w:t>Esta</w:t>
      </w:r>
      <w:r w:rsidR="00F5063F" w:rsidRPr="00B0025F">
        <w:t xml:space="preserve"> </w:t>
      </w:r>
      <w:r w:rsidR="00C9553F" w:rsidRPr="00B0025F">
        <w:t xml:space="preserve">nova </w:t>
      </w:r>
      <w:r w:rsidR="00F5063F" w:rsidRPr="00B0025F">
        <w:t xml:space="preserve">abordagem pode ser </w:t>
      </w:r>
      <w:r w:rsidR="00A832AC" w:rsidRPr="00B0025F">
        <w:t>amplamente utilizada no meio pericial e oferece resultados calcados em metodologia científica</w:t>
      </w:r>
      <w:r w:rsidR="00F86639" w:rsidRPr="00B0025F">
        <w:t>, permitindo a detecção de valores improváveis (Figura 2)</w:t>
      </w:r>
      <w:r w:rsidR="00B2671D" w:rsidRPr="00B0025F">
        <w:t>.</w:t>
      </w:r>
    </w:p>
    <w:p w:rsidR="00A9585D" w:rsidRPr="00B0025F" w:rsidRDefault="00064AB2" w:rsidP="00051A3B">
      <w:pPr>
        <w:spacing w:line="240" w:lineRule="auto"/>
        <w:ind w:firstLine="851"/>
      </w:pPr>
      <w:r w:rsidRPr="00B0025F">
        <w:t>Cabe ressaltar que</w:t>
      </w:r>
      <w:r w:rsidR="00B0025F" w:rsidRPr="00B0025F">
        <w:t xml:space="preserve">, além da probabilidade de </w:t>
      </w:r>
      <w:proofErr w:type="spellStart"/>
      <w:r w:rsidR="00B0025F" w:rsidRPr="00B0025F">
        <w:t>sobrepreço</w:t>
      </w:r>
      <w:proofErr w:type="spellEnd"/>
      <w:r w:rsidR="00B0025F" w:rsidRPr="00B0025F">
        <w:t xml:space="preserve"> em determinada obra, o método proposto também permite calcular a probabilidade de subpreço, fenômeno ainda pouco estudado e que traz também consequências deletérias ao erário, já que a costumeira paralisação de obras </w:t>
      </w:r>
      <w:proofErr w:type="spellStart"/>
      <w:r w:rsidR="00B0025F" w:rsidRPr="00B0025F">
        <w:t>suborçadas</w:t>
      </w:r>
      <w:proofErr w:type="spellEnd"/>
      <w:r w:rsidR="00B0025F" w:rsidRPr="00B0025F">
        <w:t xml:space="preserve"> causa conhecidos prejuízos materiais e sociais. Destaca-se, por fim, que e</w:t>
      </w:r>
      <w:r w:rsidR="00F86639" w:rsidRPr="00B0025F">
        <w:t xml:space="preserve">mbora tenha sido desenvolvido para fortalecer o embasamento científico de decisões relativas a práticas de corrupção por </w:t>
      </w:r>
      <w:proofErr w:type="spellStart"/>
      <w:r w:rsidR="00F86639" w:rsidRPr="00B0025F">
        <w:t>sobrepreço</w:t>
      </w:r>
      <w:proofErr w:type="spellEnd"/>
      <w:r w:rsidR="00F86639" w:rsidRPr="00B0025F">
        <w:t xml:space="preserve"> em obras públicas, o método proposto pode também ser utilizado por engenheiros orçamentistas, integrantes de órgãos de controle e do sistema judicial.</w:t>
      </w:r>
    </w:p>
    <w:p w:rsidR="00CD6CFC" w:rsidRPr="00B0025F" w:rsidRDefault="0007628D" w:rsidP="00051A3B">
      <w:pPr>
        <w:spacing w:line="240" w:lineRule="auto"/>
        <w:ind w:firstLine="851"/>
      </w:pPr>
      <w:r>
        <w:t xml:space="preserve">Este artigo </w:t>
      </w:r>
      <w:r w:rsidR="00CD6CFC" w:rsidRPr="00B0025F">
        <w:t xml:space="preserve">apresenta </w:t>
      </w:r>
      <w:proofErr w:type="gramStart"/>
      <w:r w:rsidR="00CD6CFC" w:rsidRPr="00B0025F">
        <w:t>a</w:t>
      </w:r>
      <w:proofErr w:type="gramEnd"/>
      <w:r>
        <w:t xml:space="preserve"> justificativa e o desenvolvimento da </w:t>
      </w:r>
      <w:r w:rsidR="00CD6CFC" w:rsidRPr="00B0025F">
        <w:t xml:space="preserve">base teórica do </w:t>
      </w:r>
      <w:r>
        <w:t>m</w:t>
      </w:r>
      <w:r w:rsidR="00CD6CFC" w:rsidRPr="00B0025F">
        <w:t>étodo</w:t>
      </w:r>
      <w:r>
        <w:t xml:space="preserve"> probabilístico</w:t>
      </w:r>
      <w:r w:rsidR="00C9553F" w:rsidRPr="00B0025F">
        <w:t>. Além disso,</w:t>
      </w:r>
      <w:r w:rsidR="00CD6CFC" w:rsidRPr="00B0025F">
        <w:t xml:space="preserve"> um exemplo de aplicação</w:t>
      </w:r>
      <w:r>
        <w:t xml:space="preserve"> demonstra seu</w:t>
      </w:r>
      <w:r w:rsidR="00C9553F" w:rsidRPr="00B0025F">
        <w:t xml:space="preserve"> potencial </w:t>
      </w:r>
      <w:r>
        <w:t xml:space="preserve">e possibilidades, </w:t>
      </w:r>
      <w:r>
        <w:lastRenderedPageBreak/>
        <w:t>dentre as quais</w:t>
      </w:r>
      <w:r w:rsidR="00E0319E" w:rsidRPr="00B0025F">
        <w:t xml:space="preserve"> </w:t>
      </w:r>
      <w:r w:rsidR="00064AB2" w:rsidRPr="00B0025F">
        <w:t>o cálculo de faixas de preços aceitáveis associada</w:t>
      </w:r>
      <w:r w:rsidR="00E0319E" w:rsidRPr="00B0025F">
        <w:t>s a determinados níveis de confiança (Figura 3)</w:t>
      </w:r>
      <w:r w:rsidR="00CD6CFC" w:rsidRPr="00B0025F">
        <w:t>.</w:t>
      </w:r>
    </w:p>
    <w:p w:rsidR="00B1741A" w:rsidRDefault="00B1741A" w:rsidP="00007C0D">
      <w:pPr>
        <w:spacing w:line="240" w:lineRule="auto"/>
        <w:jc w:val="center"/>
      </w:pPr>
    </w:p>
    <w:p w:rsidR="00007C0D" w:rsidRDefault="00007C0D" w:rsidP="00B1741A">
      <w:pPr>
        <w:spacing w:line="240" w:lineRule="auto"/>
        <w:jc w:val="center"/>
      </w:pPr>
      <w:r w:rsidRPr="00AA02F3">
        <w:rPr>
          <w:noProof/>
        </w:rPr>
        <w:t xml:space="preserve"> </w:t>
      </w:r>
      <w:r w:rsidR="002F2CE6">
        <w:rPr>
          <w:noProof/>
        </w:rPr>
        <w:drawing>
          <wp:inline distT="0" distB="0" distL="0" distR="0">
            <wp:extent cx="4320000" cy="227610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 2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27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1A" w:rsidRDefault="00B1741A" w:rsidP="00B1741A">
      <w:pPr>
        <w:spacing w:line="240" w:lineRule="auto"/>
        <w:jc w:val="center"/>
      </w:pPr>
      <w:r w:rsidRPr="00007C0D">
        <w:rPr>
          <w:b/>
        </w:rPr>
        <w:t xml:space="preserve">Figura </w:t>
      </w:r>
      <w:r>
        <w:rPr>
          <w:b/>
        </w:rPr>
        <w:t>2</w:t>
      </w:r>
      <w:r w:rsidRPr="00007C0D">
        <w:rPr>
          <w:b/>
        </w:rPr>
        <w:t>.</w:t>
      </w:r>
      <w:r>
        <w:t xml:space="preserve"> </w:t>
      </w:r>
      <w:r w:rsidR="00CB3102">
        <w:t>Abordagem</w:t>
      </w:r>
      <w:r>
        <w:t xml:space="preserve"> probabilístic</w:t>
      </w:r>
      <w:r w:rsidR="00CB3102">
        <w:t>a</w:t>
      </w:r>
      <w:r>
        <w:t>.</w:t>
      </w:r>
    </w:p>
    <w:p w:rsidR="00E0319E" w:rsidRDefault="00E0319E" w:rsidP="00B1741A">
      <w:pPr>
        <w:spacing w:line="240" w:lineRule="auto"/>
        <w:jc w:val="center"/>
      </w:pPr>
    </w:p>
    <w:p w:rsidR="00E0319E" w:rsidRDefault="00E0319E" w:rsidP="00B1741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DB94FDE" wp14:editId="4D5DFFB7">
            <wp:extent cx="4320000" cy="2340000"/>
            <wp:effectExtent l="0" t="0" r="4445" b="317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319E" w:rsidRDefault="00E0319E" w:rsidP="00E0319E">
      <w:pPr>
        <w:spacing w:line="240" w:lineRule="auto"/>
        <w:jc w:val="center"/>
      </w:pPr>
      <w:r w:rsidRPr="00007C0D">
        <w:rPr>
          <w:b/>
        </w:rPr>
        <w:t xml:space="preserve">Figura </w:t>
      </w:r>
      <w:r>
        <w:rPr>
          <w:b/>
        </w:rPr>
        <w:t>3</w:t>
      </w:r>
      <w:r w:rsidRPr="00007C0D">
        <w:rPr>
          <w:b/>
        </w:rPr>
        <w:t>.</w:t>
      </w:r>
      <w:r>
        <w:t xml:space="preserve"> Faixa de preços admissíveis para cada nível de confiança desejado.</w:t>
      </w:r>
    </w:p>
    <w:p w:rsidR="00E0319E" w:rsidRDefault="00E0319E" w:rsidP="00B1741A">
      <w:pPr>
        <w:spacing w:line="240" w:lineRule="auto"/>
        <w:jc w:val="center"/>
      </w:pPr>
    </w:p>
    <w:p w:rsidR="00007C0D" w:rsidRDefault="00007C0D" w:rsidP="00B1741A">
      <w:pPr>
        <w:spacing w:line="240" w:lineRule="auto"/>
        <w:ind w:firstLine="851"/>
        <w:rPr>
          <w:sz w:val="22"/>
          <w:szCs w:val="22"/>
        </w:rPr>
      </w:pPr>
    </w:p>
    <w:p w:rsidR="00F86639" w:rsidRDefault="00F86639" w:rsidP="00051A3B">
      <w:pPr>
        <w:spacing w:line="240" w:lineRule="auto"/>
        <w:ind w:firstLine="851"/>
        <w:rPr>
          <w:sz w:val="22"/>
          <w:szCs w:val="22"/>
        </w:rPr>
      </w:pPr>
    </w:p>
    <w:p w:rsidR="00F86639" w:rsidRDefault="00F86639" w:rsidP="00051A3B">
      <w:pPr>
        <w:spacing w:line="240" w:lineRule="auto"/>
        <w:ind w:firstLine="851"/>
        <w:rPr>
          <w:sz w:val="22"/>
          <w:szCs w:val="22"/>
        </w:rPr>
      </w:pPr>
    </w:p>
    <w:p w:rsidR="0065142A" w:rsidRPr="002538CA" w:rsidRDefault="0065142A" w:rsidP="0065142A">
      <w:pPr>
        <w:pStyle w:val="Nivel1"/>
        <w:spacing w:line="240" w:lineRule="auto"/>
        <w:rPr>
          <w:sz w:val="22"/>
          <w:szCs w:val="22"/>
        </w:rPr>
      </w:pPr>
      <w:bookmarkStart w:id="1" w:name="_Toc311228598"/>
      <w:r w:rsidRPr="002538CA">
        <w:rPr>
          <w:sz w:val="22"/>
          <w:szCs w:val="22"/>
        </w:rPr>
        <w:t>REFERÊNCIAS BIBLIOGRÁFICAS</w:t>
      </w:r>
      <w:bookmarkEnd w:id="1"/>
    </w:p>
    <w:p w:rsidR="00042BBF" w:rsidRPr="002538CA" w:rsidRDefault="00042BBF" w:rsidP="00CD6CFC">
      <w:pPr>
        <w:spacing w:after="60" w:line="240" w:lineRule="auto"/>
        <w:rPr>
          <w:sz w:val="22"/>
          <w:szCs w:val="22"/>
          <w:lang w:val="en-US"/>
        </w:rPr>
      </w:pPr>
      <w:r w:rsidRPr="002538CA">
        <w:rPr>
          <w:sz w:val="22"/>
          <w:szCs w:val="22"/>
        </w:rPr>
        <w:t xml:space="preserve">1. LOPES, A. O. </w:t>
      </w:r>
      <w:r w:rsidRPr="002538CA">
        <w:rPr>
          <w:i/>
          <w:sz w:val="22"/>
          <w:szCs w:val="22"/>
        </w:rPr>
        <w:t>Superfaturamento de Obras Públicas</w:t>
      </w:r>
      <w:r w:rsidRPr="002538CA">
        <w:rPr>
          <w:sz w:val="22"/>
          <w:szCs w:val="22"/>
        </w:rPr>
        <w:t xml:space="preserve">. </w:t>
      </w:r>
      <w:r w:rsidRPr="002538CA">
        <w:rPr>
          <w:sz w:val="22"/>
          <w:szCs w:val="22"/>
          <w:lang w:val="en-US"/>
        </w:rPr>
        <w:t xml:space="preserve">São Paulo: </w:t>
      </w:r>
      <w:proofErr w:type="spellStart"/>
      <w:r w:rsidRPr="002538CA">
        <w:rPr>
          <w:sz w:val="22"/>
          <w:szCs w:val="22"/>
          <w:lang w:val="en-US"/>
        </w:rPr>
        <w:t>Livro</w:t>
      </w:r>
      <w:proofErr w:type="spellEnd"/>
      <w:r w:rsidRPr="002538CA">
        <w:rPr>
          <w:sz w:val="22"/>
          <w:szCs w:val="22"/>
          <w:lang w:val="en-US"/>
        </w:rPr>
        <w:t xml:space="preserve"> Pronto, 2011.</w:t>
      </w:r>
    </w:p>
    <w:p w:rsidR="00042BBF" w:rsidRPr="002538CA" w:rsidRDefault="00042BBF" w:rsidP="00CD6CFC">
      <w:pPr>
        <w:spacing w:after="60" w:line="240" w:lineRule="auto"/>
        <w:rPr>
          <w:sz w:val="22"/>
          <w:szCs w:val="22"/>
          <w:lang w:val="en-US"/>
        </w:rPr>
      </w:pPr>
      <w:r w:rsidRPr="002538CA">
        <w:rPr>
          <w:sz w:val="22"/>
          <w:szCs w:val="22"/>
          <w:lang w:val="en-US"/>
        </w:rPr>
        <w:t xml:space="preserve">2. SIGNOR, R.; LOVE, P. E. D.; OLATUNJI, O. </w:t>
      </w:r>
      <w:r w:rsidRPr="002538CA">
        <w:rPr>
          <w:i/>
          <w:sz w:val="22"/>
          <w:szCs w:val="22"/>
          <w:lang w:val="en-US"/>
        </w:rPr>
        <w:t>Determining Overpricing in Brazilian Infrastructure Projects: A Forensic Approach</w:t>
      </w:r>
      <w:r w:rsidRPr="002538CA">
        <w:rPr>
          <w:sz w:val="22"/>
          <w:szCs w:val="22"/>
          <w:lang w:val="en-US"/>
        </w:rPr>
        <w:t xml:space="preserve">. </w:t>
      </w:r>
      <w:proofErr w:type="gramStart"/>
      <w:r w:rsidRPr="002538CA">
        <w:rPr>
          <w:sz w:val="22"/>
          <w:szCs w:val="22"/>
          <w:lang w:val="en-US"/>
        </w:rPr>
        <w:t>Journal of Construction Engineering and Management, v.1, p. 06016001, 2016.</w:t>
      </w:r>
      <w:proofErr w:type="gramEnd"/>
    </w:p>
    <w:p w:rsidR="00CB3102" w:rsidRPr="002538CA" w:rsidRDefault="00042BBF" w:rsidP="00CD6CFC">
      <w:pPr>
        <w:spacing w:after="60" w:line="240" w:lineRule="auto"/>
        <w:rPr>
          <w:sz w:val="22"/>
          <w:szCs w:val="22"/>
          <w:lang w:val="en-US"/>
        </w:rPr>
      </w:pPr>
      <w:r w:rsidRPr="002538CA">
        <w:rPr>
          <w:sz w:val="22"/>
          <w:szCs w:val="22"/>
          <w:lang w:val="en-US"/>
        </w:rPr>
        <w:t>3</w:t>
      </w:r>
      <w:r w:rsidR="00CB3102" w:rsidRPr="002538CA">
        <w:rPr>
          <w:sz w:val="22"/>
          <w:szCs w:val="22"/>
          <w:lang w:val="en-US"/>
        </w:rPr>
        <w:t xml:space="preserve">. 509 U. S. 579 (1993) &lt;https://supreme.justia.com/cases/federal/us/509/579/case.pdf&gt; </w:t>
      </w:r>
      <w:proofErr w:type="spellStart"/>
      <w:r w:rsidR="00CB3102" w:rsidRPr="002538CA">
        <w:rPr>
          <w:sz w:val="22"/>
          <w:szCs w:val="22"/>
          <w:lang w:val="en-US"/>
        </w:rPr>
        <w:t>Acesso</w:t>
      </w:r>
      <w:proofErr w:type="spellEnd"/>
      <w:r w:rsidR="00CB3102" w:rsidRPr="002538CA">
        <w:rPr>
          <w:sz w:val="22"/>
          <w:szCs w:val="22"/>
          <w:lang w:val="en-US"/>
        </w:rPr>
        <w:t xml:space="preserve"> em 4 abr. 2015.</w:t>
      </w:r>
    </w:p>
    <w:p w:rsidR="001D2633" w:rsidRPr="002538CA" w:rsidRDefault="00102301" w:rsidP="00CD6CFC">
      <w:pPr>
        <w:spacing w:after="60" w:line="240" w:lineRule="auto"/>
        <w:rPr>
          <w:sz w:val="22"/>
          <w:szCs w:val="22"/>
        </w:rPr>
      </w:pPr>
      <w:r w:rsidRPr="002538CA">
        <w:rPr>
          <w:sz w:val="22"/>
          <w:szCs w:val="22"/>
          <w:lang w:val="en-US"/>
        </w:rPr>
        <w:t>4</w:t>
      </w:r>
      <w:r w:rsidR="00CB3102" w:rsidRPr="002538CA">
        <w:rPr>
          <w:sz w:val="22"/>
          <w:szCs w:val="22"/>
          <w:lang w:val="en-US"/>
        </w:rPr>
        <w:t xml:space="preserve">. </w:t>
      </w:r>
      <w:r w:rsidR="00766AA8" w:rsidRPr="002538CA">
        <w:rPr>
          <w:sz w:val="22"/>
          <w:szCs w:val="22"/>
          <w:lang w:val="en-US"/>
        </w:rPr>
        <w:t xml:space="preserve">SIGNOR, R.; LOVE, P. E. D.; OLATUNJI, O.; MARCHIORI, F. F.; GRIPP, W. G. </w:t>
      </w:r>
      <w:proofErr w:type="gramStart"/>
      <w:r w:rsidR="00766AA8" w:rsidRPr="002538CA">
        <w:rPr>
          <w:i/>
          <w:sz w:val="22"/>
          <w:szCs w:val="22"/>
          <w:lang w:val="en-US"/>
        </w:rPr>
        <w:t>A Probabilistic Method for Forensic Cost Estimating</w:t>
      </w:r>
      <w:r w:rsidR="00766AA8" w:rsidRPr="002538CA">
        <w:rPr>
          <w:i/>
          <w:sz w:val="28"/>
          <w:lang w:val="en-US"/>
        </w:rPr>
        <w:t xml:space="preserve"> </w:t>
      </w:r>
      <w:r w:rsidR="00766AA8" w:rsidRPr="002538CA">
        <w:rPr>
          <w:i/>
          <w:sz w:val="22"/>
          <w:szCs w:val="22"/>
          <w:lang w:val="en-US"/>
        </w:rPr>
        <w:t>of Infrastructure Projects</w:t>
      </w:r>
      <w:r w:rsidR="00766AA8" w:rsidRPr="002538CA">
        <w:rPr>
          <w:sz w:val="22"/>
          <w:szCs w:val="22"/>
          <w:lang w:val="en-US"/>
        </w:rPr>
        <w:t>.</w:t>
      </w:r>
      <w:proofErr w:type="gramEnd"/>
      <w:r w:rsidR="00766AA8" w:rsidRPr="002538CA">
        <w:rPr>
          <w:sz w:val="22"/>
          <w:szCs w:val="22"/>
          <w:lang w:val="en-US"/>
        </w:rPr>
        <w:t xml:space="preserve"> </w:t>
      </w:r>
      <w:proofErr w:type="spellStart"/>
      <w:r w:rsidR="00766AA8" w:rsidRPr="002538CA">
        <w:rPr>
          <w:sz w:val="22"/>
          <w:szCs w:val="22"/>
        </w:rPr>
        <w:t>Applied</w:t>
      </w:r>
      <w:proofErr w:type="spellEnd"/>
      <w:r w:rsidR="00766AA8" w:rsidRPr="002538CA">
        <w:rPr>
          <w:sz w:val="22"/>
          <w:szCs w:val="22"/>
        </w:rPr>
        <w:t xml:space="preserve"> </w:t>
      </w:r>
      <w:proofErr w:type="spellStart"/>
      <w:r w:rsidR="00766AA8" w:rsidRPr="002538CA">
        <w:rPr>
          <w:sz w:val="22"/>
          <w:szCs w:val="22"/>
        </w:rPr>
        <w:t>Mathematical</w:t>
      </w:r>
      <w:proofErr w:type="spellEnd"/>
      <w:r w:rsidR="00766AA8" w:rsidRPr="002538CA">
        <w:rPr>
          <w:sz w:val="22"/>
          <w:szCs w:val="22"/>
        </w:rPr>
        <w:t xml:space="preserve"> </w:t>
      </w:r>
      <w:proofErr w:type="spellStart"/>
      <w:r w:rsidR="00766AA8" w:rsidRPr="002538CA">
        <w:rPr>
          <w:sz w:val="22"/>
          <w:szCs w:val="22"/>
        </w:rPr>
        <w:t>Modelling</w:t>
      </w:r>
      <w:proofErr w:type="spellEnd"/>
      <w:r w:rsidR="00766AA8" w:rsidRPr="002538CA">
        <w:rPr>
          <w:sz w:val="22"/>
          <w:szCs w:val="22"/>
        </w:rPr>
        <w:t xml:space="preserve">, v.40, p. 9197-9211, 2016. </w:t>
      </w:r>
    </w:p>
    <w:sectPr w:rsidR="001D2633" w:rsidRPr="002538CA" w:rsidSect="003037F9">
      <w:headerReference w:type="default" r:id="rId12"/>
      <w:footerReference w:type="default" r:id="rId13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1C" w:rsidRDefault="0071191C" w:rsidP="003752F7">
      <w:pPr>
        <w:spacing w:line="240" w:lineRule="auto"/>
      </w:pPr>
      <w:r>
        <w:separator/>
      </w:r>
    </w:p>
  </w:endnote>
  <w:endnote w:type="continuationSeparator" w:id="0">
    <w:p w:rsidR="0071191C" w:rsidRDefault="0071191C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296226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1C" w:rsidRDefault="0071191C" w:rsidP="003752F7">
      <w:pPr>
        <w:spacing w:line="240" w:lineRule="auto"/>
      </w:pPr>
      <w:r>
        <w:separator/>
      </w:r>
    </w:p>
  </w:footnote>
  <w:footnote w:type="continuationSeparator" w:id="0">
    <w:p w:rsidR="0071191C" w:rsidRDefault="0071191C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 xml:space="preserve">rnacional de Perícia Criminal </w:t>
    </w:r>
    <w:proofErr w:type="gramStart"/>
    <w:r w:rsidR="006044B2">
      <w:rPr>
        <w:bCs/>
        <w:sz w:val="22"/>
        <w:szCs w:val="22"/>
      </w:rPr>
      <w:t>e</w:t>
    </w:r>
    <w:proofErr w:type="gramEnd"/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07C0D"/>
    <w:rsid w:val="000110B8"/>
    <w:rsid w:val="00011D50"/>
    <w:rsid w:val="000141D6"/>
    <w:rsid w:val="00014DC9"/>
    <w:rsid w:val="00026BC8"/>
    <w:rsid w:val="00042BBF"/>
    <w:rsid w:val="00042E0A"/>
    <w:rsid w:val="00043C0D"/>
    <w:rsid w:val="000441CC"/>
    <w:rsid w:val="00051A3B"/>
    <w:rsid w:val="00053737"/>
    <w:rsid w:val="00053FCD"/>
    <w:rsid w:val="00064AB2"/>
    <w:rsid w:val="0007628D"/>
    <w:rsid w:val="00080175"/>
    <w:rsid w:val="00090BA6"/>
    <w:rsid w:val="000B38F5"/>
    <w:rsid w:val="000C67DF"/>
    <w:rsid w:val="000C6C07"/>
    <w:rsid w:val="000D64F7"/>
    <w:rsid w:val="000E490F"/>
    <w:rsid w:val="000E62DA"/>
    <w:rsid w:val="00102301"/>
    <w:rsid w:val="001052AA"/>
    <w:rsid w:val="00115C7E"/>
    <w:rsid w:val="0012394C"/>
    <w:rsid w:val="00123D94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C6C10"/>
    <w:rsid w:val="001D2633"/>
    <w:rsid w:val="001D7643"/>
    <w:rsid w:val="001E1232"/>
    <w:rsid w:val="001E221F"/>
    <w:rsid w:val="001F5735"/>
    <w:rsid w:val="00244839"/>
    <w:rsid w:val="00247455"/>
    <w:rsid w:val="00251C8D"/>
    <w:rsid w:val="002538CA"/>
    <w:rsid w:val="00256A86"/>
    <w:rsid w:val="00262CE0"/>
    <w:rsid w:val="00272C6D"/>
    <w:rsid w:val="00273933"/>
    <w:rsid w:val="00281DFF"/>
    <w:rsid w:val="00293268"/>
    <w:rsid w:val="00293989"/>
    <w:rsid w:val="00296226"/>
    <w:rsid w:val="002A1F55"/>
    <w:rsid w:val="002C1772"/>
    <w:rsid w:val="002C1DE6"/>
    <w:rsid w:val="002F2CE6"/>
    <w:rsid w:val="002F7B50"/>
    <w:rsid w:val="003037F9"/>
    <w:rsid w:val="003212D0"/>
    <w:rsid w:val="0032165A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A04B8"/>
    <w:rsid w:val="003D2EB7"/>
    <w:rsid w:val="003D455E"/>
    <w:rsid w:val="003E761E"/>
    <w:rsid w:val="003F0931"/>
    <w:rsid w:val="003F6A7C"/>
    <w:rsid w:val="00401AF8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86A9E"/>
    <w:rsid w:val="00491EA9"/>
    <w:rsid w:val="004A1F23"/>
    <w:rsid w:val="004B1A67"/>
    <w:rsid w:val="004D1B5A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25D06"/>
    <w:rsid w:val="006347BF"/>
    <w:rsid w:val="006378FF"/>
    <w:rsid w:val="00647C59"/>
    <w:rsid w:val="0065142A"/>
    <w:rsid w:val="006708E1"/>
    <w:rsid w:val="00672251"/>
    <w:rsid w:val="006762AA"/>
    <w:rsid w:val="00676FE4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191C"/>
    <w:rsid w:val="007148BD"/>
    <w:rsid w:val="00733C52"/>
    <w:rsid w:val="00734E3C"/>
    <w:rsid w:val="00746985"/>
    <w:rsid w:val="00755A52"/>
    <w:rsid w:val="00766AA8"/>
    <w:rsid w:val="0078302E"/>
    <w:rsid w:val="00784AD1"/>
    <w:rsid w:val="0079623C"/>
    <w:rsid w:val="007A109C"/>
    <w:rsid w:val="007C522E"/>
    <w:rsid w:val="007D0DBB"/>
    <w:rsid w:val="007E2E1A"/>
    <w:rsid w:val="007E6A06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572CF"/>
    <w:rsid w:val="00857E91"/>
    <w:rsid w:val="00860EDC"/>
    <w:rsid w:val="00885C3E"/>
    <w:rsid w:val="008949B2"/>
    <w:rsid w:val="008B5B05"/>
    <w:rsid w:val="008D0E6D"/>
    <w:rsid w:val="008D7AB4"/>
    <w:rsid w:val="008E2991"/>
    <w:rsid w:val="008F2C76"/>
    <w:rsid w:val="00910D22"/>
    <w:rsid w:val="009217B6"/>
    <w:rsid w:val="00941837"/>
    <w:rsid w:val="00950EFD"/>
    <w:rsid w:val="00964033"/>
    <w:rsid w:val="00973188"/>
    <w:rsid w:val="00987E5E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81023"/>
    <w:rsid w:val="00A832AC"/>
    <w:rsid w:val="00A9079D"/>
    <w:rsid w:val="00A9585D"/>
    <w:rsid w:val="00AE4966"/>
    <w:rsid w:val="00AE583C"/>
    <w:rsid w:val="00AF0BDD"/>
    <w:rsid w:val="00B0025F"/>
    <w:rsid w:val="00B00282"/>
    <w:rsid w:val="00B008DD"/>
    <w:rsid w:val="00B1741A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D2918"/>
    <w:rsid w:val="00BF6353"/>
    <w:rsid w:val="00C11825"/>
    <w:rsid w:val="00C1748C"/>
    <w:rsid w:val="00C26C44"/>
    <w:rsid w:val="00C630D3"/>
    <w:rsid w:val="00C86D3A"/>
    <w:rsid w:val="00C92FC6"/>
    <w:rsid w:val="00C92FFA"/>
    <w:rsid w:val="00C9553F"/>
    <w:rsid w:val="00CA7450"/>
    <w:rsid w:val="00CB3102"/>
    <w:rsid w:val="00CC0AEB"/>
    <w:rsid w:val="00CC6B7D"/>
    <w:rsid w:val="00CC7593"/>
    <w:rsid w:val="00CD6CFC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B64DF"/>
    <w:rsid w:val="00DC0E24"/>
    <w:rsid w:val="00DD690F"/>
    <w:rsid w:val="00DE2ADD"/>
    <w:rsid w:val="00DF7C5F"/>
    <w:rsid w:val="00E0319E"/>
    <w:rsid w:val="00E30AA9"/>
    <w:rsid w:val="00E44BB4"/>
    <w:rsid w:val="00E573A1"/>
    <w:rsid w:val="00E65FFC"/>
    <w:rsid w:val="00E97951"/>
    <w:rsid w:val="00E979DF"/>
    <w:rsid w:val="00EA3AA3"/>
    <w:rsid w:val="00EA47BE"/>
    <w:rsid w:val="00EA4AD4"/>
    <w:rsid w:val="00EC6C1D"/>
    <w:rsid w:val="00EE266E"/>
    <w:rsid w:val="00EE426C"/>
    <w:rsid w:val="00EE70EE"/>
    <w:rsid w:val="00F10ED3"/>
    <w:rsid w:val="00F11B6C"/>
    <w:rsid w:val="00F15E18"/>
    <w:rsid w:val="00F22F39"/>
    <w:rsid w:val="00F363E3"/>
    <w:rsid w:val="00F42EBD"/>
    <w:rsid w:val="00F5063F"/>
    <w:rsid w:val="00F50A50"/>
    <w:rsid w:val="00F525A4"/>
    <w:rsid w:val="00F6162F"/>
    <w:rsid w:val="00F64192"/>
    <w:rsid w:val="00F80A2A"/>
    <w:rsid w:val="00F86639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8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8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ti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regis.rs\Desktop\Artigos%20Brasil%202015\Masonry%20-%20EasyFi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PF\POSDOC\Artigos%20Brasil%202015\Artigo%201\Muro%20-%20Lognorm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80881755501567"/>
          <c:y val="5.0925925925925923E-2"/>
          <c:w val="0.81351765837443191"/>
          <c:h val="0.70796223388743074"/>
        </c:manualLayout>
      </c:layout>
      <c:areaChart>
        <c:grouping val="standard"/>
        <c:varyColors val="0"/>
        <c:ser>
          <c:idx val="2"/>
          <c:order val="0"/>
          <c:spPr>
            <a:solidFill>
              <a:schemeClr val="tx1"/>
            </a:solidFill>
            <a:ln w="6350">
              <a:noFill/>
            </a:ln>
          </c:spPr>
          <c:cat>
            <c:numRef>
              <c:f>Graphs!$AB$2:$AB$521</c:f>
              <c:numCache>
                <c:formatCode>General</c:formatCode>
                <c:ptCount val="520"/>
                <c:pt idx="0">
                  <c:v>0</c:v>
                </c:pt>
                <c:pt idx="1">
                  <c:v>5.0000000000000001E-3</c:v>
                </c:pt>
                <c:pt idx="2">
                  <c:v>0.01</c:v>
                </c:pt>
                <c:pt idx="3">
                  <c:v>1.4999999999999999E-2</c:v>
                </c:pt>
                <c:pt idx="4">
                  <c:v>0.02</c:v>
                </c:pt>
                <c:pt idx="5">
                  <c:v>2.5000000000000001E-2</c:v>
                </c:pt>
                <c:pt idx="6">
                  <c:v>0.03</c:v>
                </c:pt>
                <c:pt idx="7">
                  <c:v>3.5000000000000003E-2</c:v>
                </c:pt>
                <c:pt idx="8">
                  <c:v>0.04</c:v>
                </c:pt>
                <c:pt idx="9">
                  <c:v>4.4999999999999998E-2</c:v>
                </c:pt>
                <c:pt idx="10">
                  <c:v>0.05</c:v>
                </c:pt>
                <c:pt idx="11">
                  <c:v>5.5E-2</c:v>
                </c:pt>
                <c:pt idx="12">
                  <c:v>0.06</c:v>
                </c:pt>
                <c:pt idx="13">
                  <c:v>6.5000000000000002E-2</c:v>
                </c:pt>
                <c:pt idx="14">
                  <c:v>7.0000000000000007E-2</c:v>
                </c:pt>
                <c:pt idx="15">
                  <c:v>7.4999999999999997E-2</c:v>
                </c:pt>
                <c:pt idx="16">
                  <c:v>0.08</c:v>
                </c:pt>
                <c:pt idx="17">
                  <c:v>8.5000000000000006E-2</c:v>
                </c:pt>
                <c:pt idx="18">
                  <c:v>0.09</c:v>
                </c:pt>
                <c:pt idx="19">
                  <c:v>9.5000000000000001E-2</c:v>
                </c:pt>
                <c:pt idx="20">
                  <c:v>0.1</c:v>
                </c:pt>
                <c:pt idx="21">
                  <c:v>0.105</c:v>
                </c:pt>
                <c:pt idx="22">
                  <c:v>0.11</c:v>
                </c:pt>
                <c:pt idx="23">
                  <c:v>0.115</c:v>
                </c:pt>
                <c:pt idx="24">
                  <c:v>0.12</c:v>
                </c:pt>
                <c:pt idx="25">
                  <c:v>0.125</c:v>
                </c:pt>
                <c:pt idx="26">
                  <c:v>0.13</c:v>
                </c:pt>
                <c:pt idx="27">
                  <c:v>0.13500000000000001</c:v>
                </c:pt>
                <c:pt idx="28">
                  <c:v>0.14000000000000001</c:v>
                </c:pt>
                <c:pt idx="29">
                  <c:v>0.14499999999999999</c:v>
                </c:pt>
                <c:pt idx="30">
                  <c:v>0.15</c:v>
                </c:pt>
                <c:pt idx="31">
                  <c:v>0.155</c:v>
                </c:pt>
                <c:pt idx="32">
                  <c:v>0.16</c:v>
                </c:pt>
                <c:pt idx="33">
                  <c:v>0.16500000000000001</c:v>
                </c:pt>
                <c:pt idx="34">
                  <c:v>0.17</c:v>
                </c:pt>
                <c:pt idx="35">
                  <c:v>0.17499999999999999</c:v>
                </c:pt>
                <c:pt idx="36">
                  <c:v>0.18</c:v>
                </c:pt>
                <c:pt idx="37">
                  <c:v>0.185</c:v>
                </c:pt>
                <c:pt idx="38">
                  <c:v>0.19</c:v>
                </c:pt>
                <c:pt idx="39">
                  <c:v>0.19500000000000001</c:v>
                </c:pt>
                <c:pt idx="40">
                  <c:v>0.2</c:v>
                </c:pt>
                <c:pt idx="41">
                  <c:v>0.20499999999999999</c:v>
                </c:pt>
                <c:pt idx="42">
                  <c:v>0.21</c:v>
                </c:pt>
                <c:pt idx="43">
                  <c:v>0.215</c:v>
                </c:pt>
                <c:pt idx="44">
                  <c:v>0.22</c:v>
                </c:pt>
                <c:pt idx="45">
                  <c:v>0.22500000000000001</c:v>
                </c:pt>
                <c:pt idx="46">
                  <c:v>0.23</c:v>
                </c:pt>
                <c:pt idx="47">
                  <c:v>0.23499999999999999</c:v>
                </c:pt>
                <c:pt idx="48">
                  <c:v>0.24</c:v>
                </c:pt>
                <c:pt idx="49">
                  <c:v>0.245</c:v>
                </c:pt>
                <c:pt idx="50">
                  <c:v>0.25</c:v>
                </c:pt>
                <c:pt idx="51">
                  <c:v>0.255</c:v>
                </c:pt>
                <c:pt idx="52">
                  <c:v>0.26</c:v>
                </c:pt>
                <c:pt idx="53">
                  <c:v>0.26500000000000001</c:v>
                </c:pt>
                <c:pt idx="54">
                  <c:v>0.27</c:v>
                </c:pt>
                <c:pt idx="55">
                  <c:v>0.27500000000000002</c:v>
                </c:pt>
                <c:pt idx="56">
                  <c:v>0.28000000000000003</c:v>
                </c:pt>
                <c:pt idx="57">
                  <c:v>0.28499999999999998</c:v>
                </c:pt>
                <c:pt idx="58">
                  <c:v>0.28999999999999998</c:v>
                </c:pt>
                <c:pt idx="59">
                  <c:v>0.29499999999999998</c:v>
                </c:pt>
                <c:pt idx="60">
                  <c:v>0.3</c:v>
                </c:pt>
                <c:pt idx="61">
                  <c:v>0.30499999999999999</c:v>
                </c:pt>
                <c:pt idx="62">
                  <c:v>0.31</c:v>
                </c:pt>
                <c:pt idx="63">
                  <c:v>0.315</c:v>
                </c:pt>
                <c:pt idx="64">
                  <c:v>0.32</c:v>
                </c:pt>
                <c:pt idx="65">
                  <c:v>0.32500000000000001</c:v>
                </c:pt>
                <c:pt idx="66">
                  <c:v>0.33</c:v>
                </c:pt>
                <c:pt idx="67">
                  <c:v>0.33500000000000002</c:v>
                </c:pt>
                <c:pt idx="68">
                  <c:v>0.34</c:v>
                </c:pt>
                <c:pt idx="69">
                  <c:v>0.34499999999999997</c:v>
                </c:pt>
                <c:pt idx="70">
                  <c:v>0.35</c:v>
                </c:pt>
                <c:pt idx="71">
                  <c:v>0.35499999999999998</c:v>
                </c:pt>
                <c:pt idx="72">
                  <c:v>0.36</c:v>
                </c:pt>
                <c:pt idx="73">
                  <c:v>0.36499999999999999</c:v>
                </c:pt>
                <c:pt idx="74">
                  <c:v>0.37</c:v>
                </c:pt>
                <c:pt idx="75">
                  <c:v>0.375</c:v>
                </c:pt>
                <c:pt idx="76">
                  <c:v>0.38</c:v>
                </c:pt>
                <c:pt idx="77">
                  <c:v>0.38500000000000001</c:v>
                </c:pt>
                <c:pt idx="78">
                  <c:v>0.39</c:v>
                </c:pt>
                <c:pt idx="79">
                  <c:v>0.39500000000000002</c:v>
                </c:pt>
                <c:pt idx="80">
                  <c:v>0.4</c:v>
                </c:pt>
                <c:pt idx="81">
                  <c:v>0.40500000000000003</c:v>
                </c:pt>
                <c:pt idx="82">
                  <c:v>0.41</c:v>
                </c:pt>
                <c:pt idx="83">
                  <c:v>0.41499999999999998</c:v>
                </c:pt>
                <c:pt idx="84">
                  <c:v>0.42</c:v>
                </c:pt>
                <c:pt idx="85">
                  <c:v>0.42499999999999999</c:v>
                </c:pt>
                <c:pt idx="86">
                  <c:v>0.43</c:v>
                </c:pt>
                <c:pt idx="87">
                  <c:v>0.435</c:v>
                </c:pt>
                <c:pt idx="88">
                  <c:v>0.44</c:v>
                </c:pt>
                <c:pt idx="89">
                  <c:v>0.44500000000000001</c:v>
                </c:pt>
                <c:pt idx="90">
                  <c:v>0.45</c:v>
                </c:pt>
                <c:pt idx="91">
                  <c:v>0.45500000000000002</c:v>
                </c:pt>
                <c:pt idx="92">
                  <c:v>0.46</c:v>
                </c:pt>
                <c:pt idx="93">
                  <c:v>0.46500000000000002</c:v>
                </c:pt>
                <c:pt idx="94">
                  <c:v>0.47</c:v>
                </c:pt>
                <c:pt idx="95">
                  <c:v>0.47499999999999998</c:v>
                </c:pt>
                <c:pt idx="96">
                  <c:v>0.48</c:v>
                </c:pt>
                <c:pt idx="97">
                  <c:v>0.48499999999999999</c:v>
                </c:pt>
                <c:pt idx="98">
                  <c:v>0.49</c:v>
                </c:pt>
                <c:pt idx="99">
                  <c:v>0.495</c:v>
                </c:pt>
                <c:pt idx="100">
                  <c:v>0.5</c:v>
                </c:pt>
                <c:pt idx="101">
                  <c:v>0.505</c:v>
                </c:pt>
                <c:pt idx="102">
                  <c:v>0.51</c:v>
                </c:pt>
                <c:pt idx="103">
                  <c:v>0.51500000000000001</c:v>
                </c:pt>
                <c:pt idx="104">
                  <c:v>0.52</c:v>
                </c:pt>
                <c:pt idx="105">
                  <c:v>0.52500000000000002</c:v>
                </c:pt>
                <c:pt idx="106">
                  <c:v>0.53</c:v>
                </c:pt>
                <c:pt idx="107">
                  <c:v>0.53500000000000003</c:v>
                </c:pt>
                <c:pt idx="108">
                  <c:v>0.54</c:v>
                </c:pt>
                <c:pt idx="109">
                  <c:v>0.54500000000000004</c:v>
                </c:pt>
                <c:pt idx="110">
                  <c:v>0.55000000000000004</c:v>
                </c:pt>
                <c:pt idx="111">
                  <c:v>0.55500000000000005</c:v>
                </c:pt>
                <c:pt idx="112">
                  <c:v>0.56000000000000005</c:v>
                </c:pt>
                <c:pt idx="113">
                  <c:v>0.56499999999999995</c:v>
                </c:pt>
                <c:pt idx="114">
                  <c:v>0.56999999999999995</c:v>
                </c:pt>
                <c:pt idx="115">
                  <c:v>0.57499999999999996</c:v>
                </c:pt>
                <c:pt idx="116">
                  <c:v>0.57999999999999996</c:v>
                </c:pt>
                <c:pt idx="117">
                  <c:v>0.58499999999999996</c:v>
                </c:pt>
                <c:pt idx="118">
                  <c:v>0.59</c:v>
                </c:pt>
                <c:pt idx="119">
                  <c:v>0.59499999999999997</c:v>
                </c:pt>
                <c:pt idx="120">
                  <c:v>0.6</c:v>
                </c:pt>
                <c:pt idx="121">
                  <c:v>0.60499999999999998</c:v>
                </c:pt>
                <c:pt idx="122">
                  <c:v>0.61</c:v>
                </c:pt>
                <c:pt idx="123">
                  <c:v>0.61499999999999999</c:v>
                </c:pt>
                <c:pt idx="124">
                  <c:v>0.62</c:v>
                </c:pt>
                <c:pt idx="125">
                  <c:v>0.625</c:v>
                </c:pt>
                <c:pt idx="126">
                  <c:v>0.63</c:v>
                </c:pt>
                <c:pt idx="127">
                  <c:v>0.63500000000000001</c:v>
                </c:pt>
                <c:pt idx="128">
                  <c:v>0.64</c:v>
                </c:pt>
                <c:pt idx="129">
                  <c:v>0.64500000000000002</c:v>
                </c:pt>
                <c:pt idx="130">
                  <c:v>0.65</c:v>
                </c:pt>
                <c:pt idx="131">
                  <c:v>0.65500000000000003</c:v>
                </c:pt>
                <c:pt idx="132">
                  <c:v>0.66</c:v>
                </c:pt>
                <c:pt idx="133">
                  <c:v>0.66500000000000004</c:v>
                </c:pt>
                <c:pt idx="134">
                  <c:v>0.67</c:v>
                </c:pt>
                <c:pt idx="135">
                  <c:v>0.67500000000000004</c:v>
                </c:pt>
                <c:pt idx="136">
                  <c:v>0.68</c:v>
                </c:pt>
                <c:pt idx="137">
                  <c:v>0.68500000000000005</c:v>
                </c:pt>
                <c:pt idx="138">
                  <c:v>0.69</c:v>
                </c:pt>
                <c:pt idx="139">
                  <c:v>0.69499999999999995</c:v>
                </c:pt>
                <c:pt idx="140">
                  <c:v>0.7</c:v>
                </c:pt>
                <c:pt idx="141">
                  <c:v>0.70499999999999996</c:v>
                </c:pt>
                <c:pt idx="142">
                  <c:v>0.71</c:v>
                </c:pt>
                <c:pt idx="143">
                  <c:v>0.71499999999999997</c:v>
                </c:pt>
                <c:pt idx="144">
                  <c:v>0.72</c:v>
                </c:pt>
                <c:pt idx="145">
                  <c:v>0.72499999999999998</c:v>
                </c:pt>
                <c:pt idx="146">
                  <c:v>0.73</c:v>
                </c:pt>
                <c:pt idx="147">
                  <c:v>0.73499999999999999</c:v>
                </c:pt>
                <c:pt idx="148">
                  <c:v>0.74</c:v>
                </c:pt>
                <c:pt idx="149">
                  <c:v>0.745</c:v>
                </c:pt>
                <c:pt idx="150">
                  <c:v>0.75</c:v>
                </c:pt>
                <c:pt idx="151">
                  <c:v>0.755</c:v>
                </c:pt>
                <c:pt idx="152">
                  <c:v>0.76</c:v>
                </c:pt>
                <c:pt idx="153">
                  <c:v>0.76500000000000001</c:v>
                </c:pt>
                <c:pt idx="154">
                  <c:v>0.77</c:v>
                </c:pt>
                <c:pt idx="155">
                  <c:v>0.77500000000000002</c:v>
                </c:pt>
                <c:pt idx="156">
                  <c:v>0.78</c:v>
                </c:pt>
                <c:pt idx="157">
                  <c:v>0.78500000000000003</c:v>
                </c:pt>
                <c:pt idx="158">
                  <c:v>0.79</c:v>
                </c:pt>
                <c:pt idx="159">
                  <c:v>0.79500000000000004</c:v>
                </c:pt>
                <c:pt idx="160">
                  <c:v>0.8</c:v>
                </c:pt>
                <c:pt idx="161">
                  <c:v>0.80500000000000005</c:v>
                </c:pt>
                <c:pt idx="162">
                  <c:v>0.81</c:v>
                </c:pt>
                <c:pt idx="163">
                  <c:v>0.81499999999999995</c:v>
                </c:pt>
                <c:pt idx="164">
                  <c:v>0.82</c:v>
                </c:pt>
                <c:pt idx="165">
                  <c:v>0.82499999999999996</c:v>
                </c:pt>
                <c:pt idx="166">
                  <c:v>0.83</c:v>
                </c:pt>
                <c:pt idx="167">
                  <c:v>0.83499999999999996</c:v>
                </c:pt>
                <c:pt idx="168">
                  <c:v>0.84</c:v>
                </c:pt>
                <c:pt idx="169">
                  <c:v>0.84499999999999997</c:v>
                </c:pt>
                <c:pt idx="170">
                  <c:v>0.85</c:v>
                </c:pt>
                <c:pt idx="171">
                  <c:v>0.85499999999999998</c:v>
                </c:pt>
                <c:pt idx="172">
                  <c:v>0.86</c:v>
                </c:pt>
                <c:pt idx="173">
                  <c:v>0.86499999999999999</c:v>
                </c:pt>
                <c:pt idx="174">
                  <c:v>0.87</c:v>
                </c:pt>
                <c:pt idx="175">
                  <c:v>0.875</c:v>
                </c:pt>
                <c:pt idx="176">
                  <c:v>0.88</c:v>
                </c:pt>
                <c:pt idx="177">
                  <c:v>0.88500000000000001</c:v>
                </c:pt>
                <c:pt idx="178">
                  <c:v>0.89</c:v>
                </c:pt>
                <c:pt idx="179">
                  <c:v>0.89500000000000002</c:v>
                </c:pt>
                <c:pt idx="180">
                  <c:v>0.9</c:v>
                </c:pt>
                <c:pt idx="181">
                  <c:v>0.90500000000000003</c:v>
                </c:pt>
                <c:pt idx="182">
                  <c:v>0.91</c:v>
                </c:pt>
                <c:pt idx="183">
                  <c:v>0.91500000000000004</c:v>
                </c:pt>
                <c:pt idx="184">
                  <c:v>0.92</c:v>
                </c:pt>
                <c:pt idx="185">
                  <c:v>0.92500000000000004</c:v>
                </c:pt>
                <c:pt idx="186">
                  <c:v>0.93</c:v>
                </c:pt>
                <c:pt idx="187">
                  <c:v>0.93500000000000005</c:v>
                </c:pt>
                <c:pt idx="188">
                  <c:v>0.94</c:v>
                </c:pt>
                <c:pt idx="189">
                  <c:v>0.94499999999999995</c:v>
                </c:pt>
                <c:pt idx="190">
                  <c:v>0.95</c:v>
                </c:pt>
                <c:pt idx="191">
                  <c:v>0.95499999999999996</c:v>
                </c:pt>
                <c:pt idx="192">
                  <c:v>0.96</c:v>
                </c:pt>
                <c:pt idx="193">
                  <c:v>0.96499999999999997</c:v>
                </c:pt>
                <c:pt idx="194">
                  <c:v>0.97</c:v>
                </c:pt>
                <c:pt idx="195">
                  <c:v>0.97499999999999998</c:v>
                </c:pt>
                <c:pt idx="196">
                  <c:v>0.98</c:v>
                </c:pt>
                <c:pt idx="197">
                  <c:v>0.98499999999999999</c:v>
                </c:pt>
                <c:pt idx="198">
                  <c:v>0.99</c:v>
                </c:pt>
                <c:pt idx="199">
                  <c:v>0.995</c:v>
                </c:pt>
                <c:pt idx="200">
                  <c:v>1</c:v>
                </c:pt>
                <c:pt idx="201">
                  <c:v>1.0049999999999999</c:v>
                </c:pt>
                <c:pt idx="202">
                  <c:v>1.01</c:v>
                </c:pt>
                <c:pt idx="203">
                  <c:v>1.0149999999999999</c:v>
                </c:pt>
                <c:pt idx="204">
                  <c:v>1.02</c:v>
                </c:pt>
                <c:pt idx="205">
                  <c:v>1.0249999999999999</c:v>
                </c:pt>
                <c:pt idx="206">
                  <c:v>1.03</c:v>
                </c:pt>
                <c:pt idx="207">
                  <c:v>1.0349999999999999</c:v>
                </c:pt>
                <c:pt idx="208">
                  <c:v>1.04</c:v>
                </c:pt>
                <c:pt idx="209">
                  <c:v>1.0449999999999999</c:v>
                </c:pt>
                <c:pt idx="210">
                  <c:v>1.05</c:v>
                </c:pt>
                <c:pt idx="211">
                  <c:v>1.0549999999999999</c:v>
                </c:pt>
                <c:pt idx="212">
                  <c:v>1.06</c:v>
                </c:pt>
                <c:pt idx="213">
                  <c:v>1.0649999999999999</c:v>
                </c:pt>
                <c:pt idx="214">
                  <c:v>1.07</c:v>
                </c:pt>
                <c:pt idx="215">
                  <c:v>1.075</c:v>
                </c:pt>
                <c:pt idx="216">
                  <c:v>1.08</c:v>
                </c:pt>
                <c:pt idx="217">
                  <c:v>1.085</c:v>
                </c:pt>
                <c:pt idx="218">
                  <c:v>1.0900000000000001</c:v>
                </c:pt>
                <c:pt idx="219">
                  <c:v>1.095</c:v>
                </c:pt>
                <c:pt idx="220">
                  <c:v>1.1000000000000001</c:v>
                </c:pt>
                <c:pt idx="221">
                  <c:v>1.105</c:v>
                </c:pt>
                <c:pt idx="222">
                  <c:v>1.1100000000000001</c:v>
                </c:pt>
                <c:pt idx="223">
                  <c:v>1.115</c:v>
                </c:pt>
                <c:pt idx="224">
                  <c:v>1.1200000000000001</c:v>
                </c:pt>
                <c:pt idx="225">
                  <c:v>1.125</c:v>
                </c:pt>
                <c:pt idx="226">
                  <c:v>1.1299999999999999</c:v>
                </c:pt>
                <c:pt idx="227">
                  <c:v>1.135</c:v>
                </c:pt>
                <c:pt idx="228">
                  <c:v>1.1399999999999999</c:v>
                </c:pt>
                <c:pt idx="229">
                  <c:v>1.145</c:v>
                </c:pt>
                <c:pt idx="230">
                  <c:v>1.1499999999999999</c:v>
                </c:pt>
                <c:pt idx="231">
                  <c:v>1.155</c:v>
                </c:pt>
                <c:pt idx="232">
                  <c:v>1.1599999999999999</c:v>
                </c:pt>
                <c:pt idx="233">
                  <c:v>1.165</c:v>
                </c:pt>
                <c:pt idx="234">
                  <c:v>1.17</c:v>
                </c:pt>
                <c:pt idx="235">
                  <c:v>1.175</c:v>
                </c:pt>
                <c:pt idx="236">
                  <c:v>1.18</c:v>
                </c:pt>
                <c:pt idx="237">
                  <c:v>1.1850000000000001</c:v>
                </c:pt>
                <c:pt idx="238">
                  <c:v>1.19</c:v>
                </c:pt>
                <c:pt idx="239">
                  <c:v>1.1950000000000001</c:v>
                </c:pt>
                <c:pt idx="240">
                  <c:v>1.2</c:v>
                </c:pt>
                <c:pt idx="241">
                  <c:v>1.2050000000000001</c:v>
                </c:pt>
                <c:pt idx="242">
                  <c:v>1.21</c:v>
                </c:pt>
                <c:pt idx="243">
                  <c:v>1.2150000000000001</c:v>
                </c:pt>
                <c:pt idx="244">
                  <c:v>1.22</c:v>
                </c:pt>
                <c:pt idx="245">
                  <c:v>1.2250000000000001</c:v>
                </c:pt>
                <c:pt idx="246">
                  <c:v>1.23</c:v>
                </c:pt>
                <c:pt idx="247">
                  <c:v>1.2350000000000001</c:v>
                </c:pt>
                <c:pt idx="248">
                  <c:v>1.24</c:v>
                </c:pt>
                <c:pt idx="249">
                  <c:v>1.2450000000000001</c:v>
                </c:pt>
                <c:pt idx="250">
                  <c:v>1.25</c:v>
                </c:pt>
                <c:pt idx="251">
                  <c:v>1.2549999999999999</c:v>
                </c:pt>
                <c:pt idx="252">
                  <c:v>1.26</c:v>
                </c:pt>
                <c:pt idx="253">
                  <c:v>1.2649999999999999</c:v>
                </c:pt>
                <c:pt idx="254">
                  <c:v>1.27</c:v>
                </c:pt>
                <c:pt idx="255">
                  <c:v>1.2749999999999999</c:v>
                </c:pt>
                <c:pt idx="256">
                  <c:v>1.28</c:v>
                </c:pt>
                <c:pt idx="257">
                  <c:v>1.2849999999999999</c:v>
                </c:pt>
                <c:pt idx="258">
                  <c:v>1.29</c:v>
                </c:pt>
                <c:pt idx="259">
                  <c:v>1.2949999999999999</c:v>
                </c:pt>
                <c:pt idx="260">
                  <c:v>1.3</c:v>
                </c:pt>
                <c:pt idx="261">
                  <c:v>1.3049999999999999</c:v>
                </c:pt>
                <c:pt idx="262">
                  <c:v>1.31</c:v>
                </c:pt>
                <c:pt idx="263">
                  <c:v>1.3149999999999999</c:v>
                </c:pt>
                <c:pt idx="264">
                  <c:v>1.32</c:v>
                </c:pt>
                <c:pt idx="265">
                  <c:v>1.325</c:v>
                </c:pt>
                <c:pt idx="266">
                  <c:v>1.33</c:v>
                </c:pt>
                <c:pt idx="267">
                  <c:v>1.335</c:v>
                </c:pt>
                <c:pt idx="268">
                  <c:v>1.34</c:v>
                </c:pt>
                <c:pt idx="269">
                  <c:v>1.345</c:v>
                </c:pt>
                <c:pt idx="270">
                  <c:v>1.35</c:v>
                </c:pt>
                <c:pt idx="271">
                  <c:v>1.355</c:v>
                </c:pt>
                <c:pt idx="272">
                  <c:v>1.36</c:v>
                </c:pt>
                <c:pt idx="273">
                  <c:v>1.365</c:v>
                </c:pt>
                <c:pt idx="274">
                  <c:v>1.37</c:v>
                </c:pt>
                <c:pt idx="275">
                  <c:v>1.375</c:v>
                </c:pt>
                <c:pt idx="276">
                  <c:v>1.38</c:v>
                </c:pt>
                <c:pt idx="277">
                  <c:v>1.385</c:v>
                </c:pt>
                <c:pt idx="278">
                  <c:v>1.39</c:v>
                </c:pt>
                <c:pt idx="279">
                  <c:v>1.395</c:v>
                </c:pt>
                <c:pt idx="280">
                  <c:v>1.4</c:v>
                </c:pt>
                <c:pt idx="281">
                  <c:v>1.405</c:v>
                </c:pt>
                <c:pt idx="282">
                  <c:v>1.41</c:v>
                </c:pt>
                <c:pt idx="283">
                  <c:v>1.415</c:v>
                </c:pt>
                <c:pt idx="284">
                  <c:v>1.42</c:v>
                </c:pt>
                <c:pt idx="285">
                  <c:v>1.425</c:v>
                </c:pt>
                <c:pt idx="286">
                  <c:v>1.43</c:v>
                </c:pt>
                <c:pt idx="287">
                  <c:v>1.4350000000000001</c:v>
                </c:pt>
                <c:pt idx="288">
                  <c:v>1.44</c:v>
                </c:pt>
                <c:pt idx="289">
                  <c:v>1.4450000000000001</c:v>
                </c:pt>
                <c:pt idx="290">
                  <c:v>1.45</c:v>
                </c:pt>
                <c:pt idx="291">
                  <c:v>1.4550000000000001</c:v>
                </c:pt>
                <c:pt idx="292">
                  <c:v>1.46</c:v>
                </c:pt>
                <c:pt idx="293">
                  <c:v>1.4650000000000001</c:v>
                </c:pt>
                <c:pt idx="294">
                  <c:v>1.47</c:v>
                </c:pt>
                <c:pt idx="295">
                  <c:v>1.4750000000000001</c:v>
                </c:pt>
                <c:pt idx="296">
                  <c:v>1.48</c:v>
                </c:pt>
                <c:pt idx="297">
                  <c:v>1.4850000000000001</c:v>
                </c:pt>
                <c:pt idx="298">
                  <c:v>1.49</c:v>
                </c:pt>
                <c:pt idx="299">
                  <c:v>1.4950000000000001</c:v>
                </c:pt>
                <c:pt idx="300">
                  <c:v>1.5</c:v>
                </c:pt>
                <c:pt idx="301">
                  <c:v>1.5049999999999999</c:v>
                </c:pt>
                <c:pt idx="302">
                  <c:v>1.51</c:v>
                </c:pt>
                <c:pt idx="303">
                  <c:v>1.5149999999999999</c:v>
                </c:pt>
                <c:pt idx="304">
                  <c:v>1.52</c:v>
                </c:pt>
                <c:pt idx="305">
                  <c:v>1.5249999999999999</c:v>
                </c:pt>
                <c:pt idx="306">
                  <c:v>1.53</c:v>
                </c:pt>
                <c:pt idx="307">
                  <c:v>1.5349999999999999</c:v>
                </c:pt>
                <c:pt idx="308">
                  <c:v>1.54</c:v>
                </c:pt>
                <c:pt idx="309">
                  <c:v>1.5449999999999999</c:v>
                </c:pt>
                <c:pt idx="310">
                  <c:v>1.55</c:v>
                </c:pt>
                <c:pt idx="311">
                  <c:v>1.5549999999999999</c:v>
                </c:pt>
                <c:pt idx="312">
                  <c:v>1.56</c:v>
                </c:pt>
                <c:pt idx="313">
                  <c:v>1.5649999999999999</c:v>
                </c:pt>
                <c:pt idx="314">
                  <c:v>1.57</c:v>
                </c:pt>
                <c:pt idx="315">
                  <c:v>1.575</c:v>
                </c:pt>
                <c:pt idx="316">
                  <c:v>1.58</c:v>
                </c:pt>
                <c:pt idx="317">
                  <c:v>1.585</c:v>
                </c:pt>
                <c:pt idx="318">
                  <c:v>1.59</c:v>
                </c:pt>
                <c:pt idx="319">
                  <c:v>1.595</c:v>
                </c:pt>
                <c:pt idx="320">
                  <c:v>1.6</c:v>
                </c:pt>
                <c:pt idx="321">
                  <c:v>1.605</c:v>
                </c:pt>
                <c:pt idx="322">
                  <c:v>1.61</c:v>
                </c:pt>
                <c:pt idx="323">
                  <c:v>1.615</c:v>
                </c:pt>
                <c:pt idx="324">
                  <c:v>1.62</c:v>
                </c:pt>
                <c:pt idx="325">
                  <c:v>1.625</c:v>
                </c:pt>
                <c:pt idx="326">
                  <c:v>1.63</c:v>
                </c:pt>
                <c:pt idx="327">
                  <c:v>1.635</c:v>
                </c:pt>
                <c:pt idx="328">
                  <c:v>1.64</c:v>
                </c:pt>
                <c:pt idx="329">
                  <c:v>1.645</c:v>
                </c:pt>
                <c:pt idx="330">
                  <c:v>1.65</c:v>
                </c:pt>
                <c:pt idx="331">
                  <c:v>1.655</c:v>
                </c:pt>
                <c:pt idx="332">
                  <c:v>1.66</c:v>
                </c:pt>
                <c:pt idx="333">
                  <c:v>1.665</c:v>
                </c:pt>
                <c:pt idx="334">
                  <c:v>1.67</c:v>
                </c:pt>
                <c:pt idx="335">
                  <c:v>1.675</c:v>
                </c:pt>
                <c:pt idx="336">
                  <c:v>1.68</c:v>
                </c:pt>
                <c:pt idx="337">
                  <c:v>1.6850000000000001</c:v>
                </c:pt>
                <c:pt idx="338">
                  <c:v>1.69</c:v>
                </c:pt>
                <c:pt idx="339">
                  <c:v>1.6950000000000001</c:v>
                </c:pt>
                <c:pt idx="340">
                  <c:v>1.7</c:v>
                </c:pt>
                <c:pt idx="341">
                  <c:v>1.7050000000000001</c:v>
                </c:pt>
                <c:pt idx="342">
                  <c:v>1.71</c:v>
                </c:pt>
                <c:pt idx="343">
                  <c:v>1.7150000000000001</c:v>
                </c:pt>
                <c:pt idx="344">
                  <c:v>1.72</c:v>
                </c:pt>
                <c:pt idx="345">
                  <c:v>1.7250000000000001</c:v>
                </c:pt>
                <c:pt idx="346">
                  <c:v>1.73</c:v>
                </c:pt>
                <c:pt idx="347">
                  <c:v>1.7350000000000001</c:v>
                </c:pt>
                <c:pt idx="348">
                  <c:v>1.74</c:v>
                </c:pt>
                <c:pt idx="349">
                  <c:v>1.7450000000000001</c:v>
                </c:pt>
                <c:pt idx="350">
                  <c:v>1.75</c:v>
                </c:pt>
                <c:pt idx="351">
                  <c:v>1.7549999999999999</c:v>
                </c:pt>
                <c:pt idx="352">
                  <c:v>1.76</c:v>
                </c:pt>
                <c:pt idx="353">
                  <c:v>1.7649999999999999</c:v>
                </c:pt>
                <c:pt idx="354">
                  <c:v>1.77</c:v>
                </c:pt>
                <c:pt idx="355">
                  <c:v>1.7749999999999999</c:v>
                </c:pt>
                <c:pt idx="356">
                  <c:v>1.78</c:v>
                </c:pt>
                <c:pt idx="357">
                  <c:v>1.7849999999999999</c:v>
                </c:pt>
                <c:pt idx="358">
                  <c:v>1.79</c:v>
                </c:pt>
                <c:pt idx="359">
                  <c:v>1.7949999999999999</c:v>
                </c:pt>
                <c:pt idx="360">
                  <c:v>1.8</c:v>
                </c:pt>
                <c:pt idx="361">
                  <c:v>1.8049999999999999</c:v>
                </c:pt>
                <c:pt idx="362">
                  <c:v>1.81</c:v>
                </c:pt>
                <c:pt idx="363">
                  <c:v>1.8149999999999999</c:v>
                </c:pt>
                <c:pt idx="364">
                  <c:v>1.82</c:v>
                </c:pt>
                <c:pt idx="365">
                  <c:v>1.825</c:v>
                </c:pt>
                <c:pt idx="366">
                  <c:v>1.83</c:v>
                </c:pt>
                <c:pt idx="367">
                  <c:v>1.835</c:v>
                </c:pt>
                <c:pt idx="368">
                  <c:v>1.84</c:v>
                </c:pt>
                <c:pt idx="369">
                  <c:v>1.845</c:v>
                </c:pt>
                <c:pt idx="370">
                  <c:v>1.85</c:v>
                </c:pt>
                <c:pt idx="371">
                  <c:v>1.855</c:v>
                </c:pt>
                <c:pt idx="372">
                  <c:v>1.86</c:v>
                </c:pt>
                <c:pt idx="373">
                  <c:v>1.865</c:v>
                </c:pt>
                <c:pt idx="374">
                  <c:v>1.87</c:v>
                </c:pt>
                <c:pt idx="375">
                  <c:v>1.875</c:v>
                </c:pt>
                <c:pt idx="376">
                  <c:v>1.88</c:v>
                </c:pt>
                <c:pt idx="377">
                  <c:v>1.885</c:v>
                </c:pt>
                <c:pt idx="378">
                  <c:v>1.89</c:v>
                </c:pt>
                <c:pt idx="379">
                  <c:v>1.895</c:v>
                </c:pt>
                <c:pt idx="380">
                  <c:v>1.9</c:v>
                </c:pt>
                <c:pt idx="381">
                  <c:v>1.905</c:v>
                </c:pt>
                <c:pt idx="382">
                  <c:v>1.91</c:v>
                </c:pt>
                <c:pt idx="383">
                  <c:v>1.915</c:v>
                </c:pt>
                <c:pt idx="384">
                  <c:v>1.92</c:v>
                </c:pt>
                <c:pt idx="385">
                  <c:v>1.925</c:v>
                </c:pt>
                <c:pt idx="386">
                  <c:v>1.93</c:v>
                </c:pt>
                <c:pt idx="387">
                  <c:v>1.9350000000000001</c:v>
                </c:pt>
                <c:pt idx="388">
                  <c:v>1.94</c:v>
                </c:pt>
                <c:pt idx="389">
                  <c:v>1.9450000000000001</c:v>
                </c:pt>
                <c:pt idx="390">
                  <c:v>1.95</c:v>
                </c:pt>
                <c:pt idx="391">
                  <c:v>1.9550000000000001</c:v>
                </c:pt>
                <c:pt idx="392">
                  <c:v>1.96</c:v>
                </c:pt>
                <c:pt idx="393">
                  <c:v>1.9650000000000001</c:v>
                </c:pt>
                <c:pt idx="394">
                  <c:v>1.97</c:v>
                </c:pt>
                <c:pt idx="395">
                  <c:v>1.9750000000000001</c:v>
                </c:pt>
                <c:pt idx="396">
                  <c:v>1.98</c:v>
                </c:pt>
                <c:pt idx="397">
                  <c:v>1.9850000000000001</c:v>
                </c:pt>
                <c:pt idx="398">
                  <c:v>1.99</c:v>
                </c:pt>
                <c:pt idx="399">
                  <c:v>1.9950000000000001</c:v>
                </c:pt>
                <c:pt idx="400">
                  <c:v>2</c:v>
                </c:pt>
                <c:pt idx="401">
                  <c:v>2.0049999999999999</c:v>
                </c:pt>
                <c:pt idx="402">
                  <c:v>2.0099999999999998</c:v>
                </c:pt>
                <c:pt idx="403">
                  <c:v>2.0150000000000001</c:v>
                </c:pt>
                <c:pt idx="404">
                  <c:v>2.02</c:v>
                </c:pt>
                <c:pt idx="405">
                  <c:v>2.0249999999999999</c:v>
                </c:pt>
                <c:pt idx="406">
                  <c:v>2.0299999999999998</c:v>
                </c:pt>
                <c:pt idx="407">
                  <c:v>2.0350000000000001</c:v>
                </c:pt>
                <c:pt idx="408">
                  <c:v>2.04</c:v>
                </c:pt>
                <c:pt idx="409">
                  <c:v>2.0449999999999999</c:v>
                </c:pt>
                <c:pt idx="410">
                  <c:v>2.0499999999999998</c:v>
                </c:pt>
                <c:pt idx="411">
                  <c:v>2.0550000000000002</c:v>
                </c:pt>
                <c:pt idx="412">
                  <c:v>2.06</c:v>
                </c:pt>
                <c:pt idx="413">
                  <c:v>2.0649999999999999</c:v>
                </c:pt>
                <c:pt idx="414">
                  <c:v>2.0699999999999998</c:v>
                </c:pt>
                <c:pt idx="415">
                  <c:v>2.0750000000000002</c:v>
                </c:pt>
                <c:pt idx="416">
                  <c:v>2.08</c:v>
                </c:pt>
                <c:pt idx="417">
                  <c:v>2.085</c:v>
                </c:pt>
                <c:pt idx="418">
                  <c:v>2.09</c:v>
                </c:pt>
                <c:pt idx="419">
                  <c:v>2.0950000000000002</c:v>
                </c:pt>
                <c:pt idx="420">
                  <c:v>2.1</c:v>
                </c:pt>
                <c:pt idx="421">
                  <c:v>2.105</c:v>
                </c:pt>
                <c:pt idx="422">
                  <c:v>2.11</c:v>
                </c:pt>
                <c:pt idx="423">
                  <c:v>2.1150000000000002</c:v>
                </c:pt>
                <c:pt idx="424">
                  <c:v>2.12</c:v>
                </c:pt>
                <c:pt idx="425">
                  <c:v>2.125</c:v>
                </c:pt>
                <c:pt idx="426">
                  <c:v>2.13</c:v>
                </c:pt>
                <c:pt idx="427">
                  <c:v>2.1349999999999998</c:v>
                </c:pt>
                <c:pt idx="428">
                  <c:v>2.14</c:v>
                </c:pt>
                <c:pt idx="429">
                  <c:v>2.145</c:v>
                </c:pt>
                <c:pt idx="430">
                  <c:v>2.15</c:v>
                </c:pt>
                <c:pt idx="431">
                  <c:v>2.1549999999999998</c:v>
                </c:pt>
                <c:pt idx="432">
                  <c:v>2.16</c:v>
                </c:pt>
                <c:pt idx="433">
                  <c:v>2.165</c:v>
                </c:pt>
                <c:pt idx="434">
                  <c:v>2.17</c:v>
                </c:pt>
                <c:pt idx="435">
                  <c:v>2.1749999999999998</c:v>
                </c:pt>
                <c:pt idx="436">
                  <c:v>2.1800000000000002</c:v>
                </c:pt>
                <c:pt idx="437">
                  <c:v>2.1850000000000001</c:v>
                </c:pt>
                <c:pt idx="438">
                  <c:v>2.19</c:v>
                </c:pt>
                <c:pt idx="439">
                  <c:v>2.1949999999999998</c:v>
                </c:pt>
                <c:pt idx="440">
                  <c:v>2.2000000000000002</c:v>
                </c:pt>
                <c:pt idx="441">
                  <c:v>2.2050000000000001</c:v>
                </c:pt>
                <c:pt idx="442">
                  <c:v>2.21</c:v>
                </c:pt>
                <c:pt idx="443">
                  <c:v>2.2149999999999999</c:v>
                </c:pt>
                <c:pt idx="444">
                  <c:v>2.2200000000000002</c:v>
                </c:pt>
                <c:pt idx="445">
                  <c:v>2.2250000000000001</c:v>
                </c:pt>
                <c:pt idx="446">
                  <c:v>2.23</c:v>
                </c:pt>
                <c:pt idx="447">
                  <c:v>2.2349999999999999</c:v>
                </c:pt>
                <c:pt idx="448">
                  <c:v>2.2400000000000002</c:v>
                </c:pt>
                <c:pt idx="449">
                  <c:v>2.2450000000000001</c:v>
                </c:pt>
                <c:pt idx="450">
                  <c:v>2.25</c:v>
                </c:pt>
                <c:pt idx="451">
                  <c:v>2.2549999999999999</c:v>
                </c:pt>
                <c:pt idx="452">
                  <c:v>2.2599999999999998</c:v>
                </c:pt>
                <c:pt idx="453">
                  <c:v>2.2650000000000001</c:v>
                </c:pt>
                <c:pt idx="454">
                  <c:v>2.27</c:v>
                </c:pt>
                <c:pt idx="455">
                  <c:v>2.2749999999999999</c:v>
                </c:pt>
                <c:pt idx="456">
                  <c:v>2.2799999999999998</c:v>
                </c:pt>
                <c:pt idx="457">
                  <c:v>2.2850000000000001</c:v>
                </c:pt>
                <c:pt idx="458">
                  <c:v>2.29</c:v>
                </c:pt>
                <c:pt idx="459">
                  <c:v>2.2949999999999999</c:v>
                </c:pt>
                <c:pt idx="460">
                  <c:v>2.2999999999999998</c:v>
                </c:pt>
                <c:pt idx="461">
                  <c:v>2.3050000000000002</c:v>
                </c:pt>
                <c:pt idx="462">
                  <c:v>2.31</c:v>
                </c:pt>
                <c:pt idx="463">
                  <c:v>2.3149999999999999</c:v>
                </c:pt>
                <c:pt idx="464">
                  <c:v>2.3199999999999998</c:v>
                </c:pt>
                <c:pt idx="465">
                  <c:v>2.3250000000000002</c:v>
                </c:pt>
                <c:pt idx="466">
                  <c:v>2.33</c:v>
                </c:pt>
                <c:pt idx="467">
                  <c:v>2.335</c:v>
                </c:pt>
                <c:pt idx="468">
                  <c:v>2.34</c:v>
                </c:pt>
                <c:pt idx="469">
                  <c:v>2.3450000000000002</c:v>
                </c:pt>
                <c:pt idx="470">
                  <c:v>2.35</c:v>
                </c:pt>
                <c:pt idx="471">
                  <c:v>2.355</c:v>
                </c:pt>
                <c:pt idx="472">
                  <c:v>2.36</c:v>
                </c:pt>
                <c:pt idx="473">
                  <c:v>2.3650000000000002</c:v>
                </c:pt>
                <c:pt idx="474">
                  <c:v>2.37</c:v>
                </c:pt>
                <c:pt idx="475">
                  <c:v>2.375</c:v>
                </c:pt>
                <c:pt idx="476">
                  <c:v>2.38</c:v>
                </c:pt>
                <c:pt idx="477">
                  <c:v>2.3849999999999998</c:v>
                </c:pt>
                <c:pt idx="478">
                  <c:v>2.39</c:v>
                </c:pt>
                <c:pt idx="479">
                  <c:v>2.395</c:v>
                </c:pt>
                <c:pt idx="480">
                  <c:v>2.4</c:v>
                </c:pt>
                <c:pt idx="481">
                  <c:v>2.4049999999999998</c:v>
                </c:pt>
                <c:pt idx="482">
                  <c:v>2.41</c:v>
                </c:pt>
                <c:pt idx="483">
                  <c:v>2.415</c:v>
                </c:pt>
                <c:pt idx="484">
                  <c:v>2.42</c:v>
                </c:pt>
                <c:pt idx="485">
                  <c:v>2.4249999999999998</c:v>
                </c:pt>
                <c:pt idx="486">
                  <c:v>2.4300000000000002</c:v>
                </c:pt>
                <c:pt idx="487">
                  <c:v>2.4350000000000001</c:v>
                </c:pt>
                <c:pt idx="488">
                  <c:v>2.44</c:v>
                </c:pt>
                <c:pt idx="489">
                  <c:v>2.4449999999999998</c:v>
                </c:pt>
                <c:pt idx="490">
                  <c:v>2.4500000000000002</c:v>
                </c:pt>
                <c:pt idx="491">
                  <c:v>2.4550000000000001</c:v>
                </c:pt>
                <c:pt idx="492">
                  <c:v>2.46</c:v>
                </c:pt>
                <c:pt idx="493">
                  <c:v>2.4649999999999999</c:v>
                </c:pt>
                <c:pt idx="494">
                  <c:v>2.4700000000000002</c:v>
                </c:pt>
                <c:pt idx="495">
                  <c:v>2.4750000000000001</c:v>
                </c:pt>
                <c:pt idx="496">
                  <c:v>2.48</c:v>
                </c:pt>
                <c:pt idx="497">
                  <c:v>2.4849999999999999</c:v>
                </c:pt>
                <c:pt idx="498">
                  <c:v>2.4900000000000002</c:v>
                </c:pt>
                <c:pt idx="499">
                  <c:v>2.4950000000000001</c:v>
                </c:pt>
                <c:pt idx="500">
                  <c:v>2.5</c:v>
                </c:pt>
                <c:pt idx="501">
                  <c:v>2.5049999999999999</c:v>
                </c:pt>
                <c:pt idx="502">
                  <c:v>2.5099999999999998</c:v>
                </c:pt>
                <c:pt idx="503">
                  <c:v>2.5150000000000001</c:v>
                </c:pt>
                <c:pt idx="504">
                  <c:v>2.52</c:v>
                </c:pt>
                <c:pt idx="505">
                  <c:v>2.5249999999999999</c:v>
                </c:pt>
                <c:pt idx="506">
                  <c:v>2.5299999999999998</c:v>
                </c:pt>
                <c:pt idx="507">
                  <c:v>2.5350000000000001</c:v>
                </c:pt>
                <c:pt idx="508">
                  <c:v>2.54</c:v>
                </c:pt>
                <c:pt idx="509">
                  <c:v>2.5449999999999999</c:v>
                </c:pt>
                <c:pt idx="510">
                  <c:v>2.5499999999999998</c:v>
                </c:pt>
                <c:pt idx="511">
                  <c:v>2.5550000000000002</c:v>
                </c:pt>
                <c:pt idx="512">
                  <c:v>2.56</c:v>
                </c:pt>
                <c:pt idx="513">
                  <c:v>2.5649999999999999</c:v>
                </c:pt>
                <c:pt idx="514">
                  <c:v>2.57</c:v>
                </c:pt>
                <c:pt idx="515">
                  <c:v>2.5750000000000002</c:v>
                </c:pt>
                <c:pt idx="516">
                  <c:v>2.58</c:v>
                </c:pt>
                <c:pt idx="517">
                  <c:v>2.585</c:v>
                </c:pt>
                <c:pt idx="518">
                  <c:v>2.59</c:v>
                </c:pt>
                <c:pt idx="519">
                  <c:v>2.5950000000000002</c:v>
                </c:pt>
              </c:numCache>
            </c:numRef>
          </c:cat>
          <c:val>
            <c:numRef>
              <c:f>Graphs!$AC$2:$AC$521</c:f>
              <c:numCache>
                <c:formatCode>General</c:formatCode>
                <c:ptCount val="5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1</c:v>
                </c:pt>
                <c:pt idx="221">
                  <c:v>1</c:v>
                </c:pt>
                <c:pt idx="222">
                  <c:v>1</c:v>
                </c:pt>
                <c:pt idx="223">
                  <c:v>1</c:v>
                </c:pt>
                <c:pt idx="224">
                  <c:v>1</c:v>
                </c:pt>
                <c:pt idx="225">
                  <c:v>1</c:v>
                </c:pt>
                <c:pt idx="226">
                  <c:v>1</c:v>
                </c:pt>
                <c:pt idx="227">
                  <c:v>1</c:v>
                </c:pt>
                <c:pt idx="228">
                  <c:v>1</c:v>
                </c:pt>
                <c:pt idx="229">
                  <c:v>1</c:v>
                </c:pt>
                <c:pt idx="230">
                  <c:v>1</c:v>
                </c:pt>
                <c:pt idx="231">
                  <c:v>1</c:v>
                </c:pt>
                <c:pt idx="232">
                  <c:v>1</c:v>
                </c:pt>
                <c:pt idx="233">
                  <c:v>1</c:v>
                </c:pt>
                <c:pt idx="234">
                  <c:v>1</c:v>
                </c:pt>
                <c:pt idx="235">
                  <c:v>1</c:v>
                </c:pt>
                <c:pt idx="236">
                  <c:v>1</c:v>
                </c:pt>
                <c:pt idx="237">
                  <c:v>1</c:v>
                </c:pt>
                <c:pt idx="238">
                  <c:v>1</c:v>
                </c:pt>
                <c:pt idx="239">
                  <c:v>1</c:v>
                </c:pt>
                <c:pt idx="240">
                  <c:v>1</c:v>
                </c:pt>
                <c:pt idx="241">
                  <c:v>1</c:v>
                </c:pt>
                <c:pt idx="242">
                  <c:v>1</c:v>
                </c:pt>
                <c:pt idx="243">
                  <c:v>1</c:v>
                </c:pt>
                <c:pt idx="244">
                  <c:v>1</c:v>
                </c:pt>
                <c:pt idx="245">
                  <c:v>1</c:v>
                </c:pt>
                <c:pt idx="246">
                  <c:v>1</c:v>
                </c:pt>
                <c:pt idx="247">
                  <c:v>1</c:v>
                </c:pt>
                <c:pt idx="248">
                  <c:v>1</c:v>
                </c:pt>
                <c:pt idx="249">
                  <c:v>1</c:v>
                </c:pt>
                <c:pt idx="250">
                  <c:v>1</c:v>
                </c:pt>
                <c:pt idx="251">
                  <c:v>1</c:v>
                </c:pt>
                <c:pt idx="252">
                  <c:v>1</c:v>
                </c:pt>
                <c:pt idx="253">
                  <c:v>1</c:v>
                </c:pt>
                <c:pt idx="254">
                  <c:v>1</c:v>
                </c:pt>
                <c:pt idx="255">
                  <c:v>1</c:v>
                </c:pt>
                <c:pt idx="256">
                  <c:v>1</c:v>
                </c:pt>
                <c:pt idx="257">
                  <c:v>1</c:v>
                </c:pt>
                <c:pt idx="258">
                  <c:v>1</c:v>
                </c:pt>
                <c:pt idx="259">
                  <c:v>1</c:v>
                </c:pt>
                <c:pt idx="260">
                  <c:v>1</c:v>
                </c:pt>
                <c:pt idx="261">
                  <c:v>1</c:v>
                </c:pt>
                <c:pt idx="262">
                  <c:v>1</c:v>
                </c:pt>
                <c:pt idx="263">
                  <c:v>1</c:v>
                </c:pt>
                <c:pt idx="264">
                  <c:v>1</c:v>
                </c:pt>
                <c:pt idx="265">
                  <c:v>1</c:v>
                </c:pt>
                <c:pt idx="266">
                  <c:v>1</c:v>
                </c:pt>
                <c:pt idx="267">
                  <c:v>1</c:v>
                </c:pt>
                <c:pt idx="268">
                  <c:v>1</c:v>
                </c:pt>
                <c:pt idx="269">
                  <c:v>1</c:v>
                </c:pt>
                <c:pt idx="270">
                  <c:v>1</c:v>
                </c:pt>
                <c:pt idx="271">
                  <c:v>1</c:v>
                </c:pt>
                <c:pt idx="272">
                  <c:v>1</c:v>
                </c:pt>
                <c:pt idx="273">
                  <c:v>1</c:v>
                </c:pt>
                <c:pt idx="274">
                  <c:v>1</c:v>
                </c:pt>
                <c:pt idx="275">
                  <c:v>1</c:v>
                </c:pt>
                <c:pt idx="276">
                  <c:v>1</c:v>
                </c:pt>
                <c:pt idx="277">
                  <c:v>1</c:v>
                </c:pt>
                <c:pt idx="278">
                  <c:v>1</c:v>
                </c:pt>
                <c:pt idx="279">
                  <c:v>1</c:v>
                </c:pt>
                <c:pt idx="280">
                  <c:v>1</c:v>
                </c:pt>
                <c:pt idx="281">
                  <c:v>1</c:v>
                </c:pt>
                <c:pt idx="282">
                  <c:v>1</c:v>
                </c:pt>
                <c:pt idx="283">
                  <c:v>1</c:v>
                </c:pt>
                <c:pt idx="284">
                  <c:v>1</c:v>
                </c:pt>
                <c:pt idx="285">
                  <c:v>1</c:v>
                </c:pt>
                <c:pt idx="286">
                  <c:v>1</c:v>
                </c:pt>
                <c:pt idx="287">
                  <c:v>1</c:v>
                </c:pt>
                <c:pt idx="288">
                  <c:v>1</c:v>
                </c:pt>
                <c:pt idx="289">
                  <c:v>1</c:v>
                </c:pt>
                <c:pt idx="290">
                  <c:v>1</c:v>
                </c:pt>
                <c:pt idx="291">
                  <c:v>1</c:v>
                </c:pt>
                <c:pt idx="292">
                  <c:v>1</c:v>
                </c:pt>
                <c:pt idx="293">
                  <c:v>1</c:v>
                </c:pt>
                <c:pt idx="294">
                  <c:v>1</c:v>
                </c:pt>
                <c:pt idx="295">
                  <c:v>1</c:v>
                </c:pt>
                <c:pt idx="296">
                  <c:v>1</c:v>
                </c:pt>
                <c:pt idx="297">
                  <c:v>1</c:v>
                </c:pt>
                <c:pt idx="298">
                  <c:v>1</c:v>
                </c:pt>
                <c:pt idx="299">
                  <c:v>1</c:v>
                </c:pt>
                <c:pt idx="300">
                  <c:v>1</c:v>
                </c:pt>
                <c:pt idx="301">
                  <c:v>1</c:v>
                </c:pt>
                <c:pt idx="302">
                  <c:v>1</c:v>
                </c:pt>
                <c:pt idx="303">
                  <c:v>1</c:v>
                </c:pt>
                <c:pt idx="304">
                  <c:v>1</c:v>
                </c:pt>
                <c:pt idx="305">
                  <c:v>1</c:v>
                </c:pt>
                <c:pt idx="306">
                  <c:v>1</c:v>
                </c:pt>
                <c:pt idx="307">
                  <c:v>1</c:v>
                </c:pt>
                <c:pt idx="308">
                  <c:v>1</c:v>
                </c:pt>
                <c:pt idx="309">
                  <c:v>1</c:v>
                </c:pt>
                <c:pt idx="310">
                  <c:v>1</c:v>
                </c:pt>
                <c:pt idx="311">
                  <c:v>1</c:v>
                </c:pt>
                <c:pt idx="312">
                  <c:v>1</c:v>
                </c:pt>
                <c:pt idx="313">
                  <c:v>1</c:v>
                </c:pt>
                <c:pt idx="314">
                  <c:v>1</c:v>
                </c:pt>
                <c:pt idx="315">
                  <c:v>1</c:v>
                </c:pt>
                <c:pt idx="316">
                  <c:v>1</c:v>
                </c:pt>
                <c:pt idx="317">
                  <c:v>1</c:v>
                </c:pt>
                <c:pt idx="318">
                  <c:v>1</c:v>
                </c:pt>
                <c:pt idx="319">
                  <c:v>1</c:v>
                </c:pt>
                <c:pt idx="320">
                  <c:v>1</c:v>
                </c:pt>
                <c:pt idx="321">
                  <c:v>1</c:v>
                </c:pt>
                <c:pt idx="322">
                  <c:v>1</c:v>
                </c:pt>
                <c:pt idx="323">
                  <c:v>1</c:v>
                </c:pt>
                <c:pt idx="324">
                  <c:v>1</c:v>
                </c:pt>
                <c:pt idx="325">
                  <c:v>1</c:v>
                </c:pt>
                <c:pt idx="326">
                  <c:v>1</c:v>
                </c:pt>
                <c:pt idx="327">
                  <c:v>1</c:v>
                </c:pt>
                <c:pt idx="328">
                  <c:v>1</c:v>
                </c:pt>
                <c:pt idx="329">
                  <c:v>1</c:v>
                </c:pt>
                <c:pt idx="330">
                  <c:v>1</c:v>
                </c:pt>
                <c:pt idx="331">
                  <c:v>1</c:v>
                </c:pt>
                <c:pt idx="332">
                  <c:v>1</c:v>
                </c:pt>
                <c:pt idx="333">
                  <c:v>1</c:v>
                </c:pt>
                <c:pt idx="334">
                  <c:v>1</c:v>
                </c:pt>
                <c:pt idx="335">
                  <c:v>1</c:v>
                </c:pt>
                <c:pt idx="336">
                  <c:v>1</c:v>
                </c:pt>
                <c:pt idx="337">
                  <c:v>1</c:v>
                </c:pt>
                <c:pt idx="338">
                  <c:v>1</c:v>
                </c:pt>
                <c:pt idx="339">
                  <c:v>1</c:v>
                </c:pt>
                <c:pt idx="340">
                  <c:v>1</c:v>
                </c:pt>
                <c:pt idx="341">
                  <c:v>1</c:v>
                </c:pt>
                <c:pt idx="342">
                  <c:v>1</c:v>
                </c:pt>
                <c:pt idx="343">
                  <c:v>1</c:v>
                </c:pt>
                <c:pt idx="344">
                  <c:v>1</c:v>
                </c:pt>
                <c:pt idx="345">
                  <c:v>1</c:v>
                </c:pt>
                <c:pt idx="346">
                  <c:v>1</c:v>
                </c:pt>
                <c:pt idx="347">
                  <c:v>1</c:v>
                </c:pt>
                <c:pt idx="348">
                  <c:v>1</c:v>
                </c:pt>
                <c:pt idx="349">
                  <c:v>1</c:v>
                </c:pt>
                <c:pt idx="350">
                  <c:v>1</c:v>
                </c:pt>
                <c:pt idx="351">
                  <c:v>1</c:v>
                </c:pt>
                <c:pt idx="352">
                  <c:v>1</c:v>
                </c:pt>
                <c:pt idx="353">
                  <c:v>1</c:v>
                </c:pt>
                <c:pt idx="354">
                  <c:v>1</c:v>
                </c:pt>
                <c:pt idx="355">
                  <c:v>1</c:v>
                </c:pt>
                <c:pt idx="356">
                  <c:v>1</c:v>
                </c:pt>
                <c:pt idx="357">
                  <c:v>1</c:v>
                </c:pt>
                <c:pt idx="358">
                  <c:v>1</c:v>
                </c:pt>
                <c:pt idx="359">
                  <c:v>1</c:v>
                </c:pt>
                <c:pt idx="360">
                  <c:v>1</c:v>
                </c:pt>
                <c:pt idx="361">
                  <c:v>1</c:v>
                </c:pt>
                <c:pt idx="362">
                  <c:v>1</c:v>
                </c:pt>
                <c:pt idx="363">
                  <c:v>1</c:v>
                </c:pt>
                <c:pt idx="364">
                  <c:v>1</c:v>
                </c:pt>
                <c:pt idx="365">
                  <c:v>1</c:v>
                </c:pt>
                <c:pt idx="366">
                  <c:v>1</c:v>
                </c:pt>
                <c:pt idx="367">
                  <c:v>1</c:v>
                </c:pt>
                <c:pt idx="368">
                  <c:v>1</c:v>
                </c:pt>
                <c:pt idx="369">
                  <c:v>1</c:v>
                </c:pt>
                <c:pt idx="370">
                  <c:v>1</c:v>
                </c:pt>
                <c:pt idx="371">
                  <c:v>1</c:v>
                </c:pt>
                <c:pt idx="372">
                  <c:v>1</c:v>
                </c:pt>
                <c:pt idx="373">
                  <c:v>1</c:v>
                </c:pt>
                <c:pt idx="374">
                  <c:v>1</c:v>
                </c:pt>
                <c:pt idx="375">
                  <c:v>1</c:v>
                </c:pt>
                <c:pt idx="376">
                  <c:v>1</c:v>
                </c:pt>
                <c:pt idx="377">
                  <c:v>1</c:v>
                </c:pt>
                <c:pt idx="378">
                  <c:v>1</c:v>
                </c:pt>
                <c:pt idx="379">
                  <c:v>1</c:v>
                </c:pt>
                <c:pt idx="380">
                  <c:v>1</c:v>
                </c:pt>
                <c:pt idx="381">
                  <c:v>1</c:v>
                </c:pt>
                <c:pt idx="382">
                  <c:v>1</c:v>
                </c:pt>
                <c:pt idx="383">
                  <c:v>1</c:v>
                </c:pt>
                <c:pt idx="384">
                  <c:v>1</c:v>
                </c:pt>
                <c:pt idx="385">
                  <c:v>1</c:v>
                </c:pt>
                <c:pt idx="386">
                  <c:v>1</c:v>
                </c:pt>
                <c:pt idx="387">
                  <c:v>1</c:v>
                </c:pt>
                <c:pt idx="388">
                  <c:v>1</c:v>
                </c:pt>
                <c:pt idx="389">
                  <c:v>1</c:v>
                </c:pt>
                <c:pt idx="390">
                  <c:v>1</c:v>
                </c:pt>
                <c:pt idx="391">
                  <c:v>1</c:v>
                </c:pt>
                <c:pt idx="392">
                  <c:v>1</c:v>
                </c:pt>
                <c:pt idx="393">
                  <c:v>1</c:v>
                </c:pt>
                <c:pt idx="394">
                  <c:v>1</c:v>
                </c:pt>
                <c:pt idx="395">
                  <c:v>1</c:v>
                </c:pt>
                <c:pt idx="396">
                  <c:v>1</c:v>
                </c:pt>
                <c:pt idx="397">
                  <c:v>1</c:v>
                </c:pt>
                <c:pt idx="398">
                  <c:v>1</c:v>
                </c:pt>
                <c:pt idx="399">
                  <c:v>1</c:v>
                </c:pt>
                <c:pt idx="400">
                  <c:v>1</c:v>
                </c:pt>
                <c:pt idx="401">
                  <c:v>1</c:v>
                </c:pt>
                <c:pt idx="402">
                  <c:v>1</c:v>
                </c:pt>
                <c:pt idx="403">
                  <c:v>1</c:v>
                </c:pt>
                <c:pt idx="404">
                  <c:v>1</c:v>
                </c:pt>
                <c:pt idx="405">
                  <c:v>1</c:v>
                </c:pt>
                <c:pt idx="406">
                  <c:v>1</c:v>
                </c:pt>
                <c:pt idx="407">
                  <c:v>1</c:v>
                </c:pt>
                <c:pt idx="408">
                  <c:v>1</c:v>
                </c:pt>
                <c:pt idx="409">
                  <c:v>1</c:v>
                </c:pt>
                <c:pt idx="410">
                  <c:v>1</c:v>
                </c:pt>
                <c:pt idx="411">
                  <c:v>1</c:v>
                </c:pt>
                <c:pt idx="412">
                  <c:v>1</c:v>
                </c:pt>
                <c:pt idx="413">
                  <c:v>1</c:v>
                </c:pt>
                <c:pt idx="414">
                  <c:v>1</c:v>
                </c:pt>
                <c:pt idx="415">
                  <c:v>1</c:v>
                </c:pt>
                <c:pt idx="416">
                  <c:v>1</c:v>
                </c:pt>
                <c:pt idx="417">
                  <c:v>1</c:v>
                </c:pt>
                <c:pt idx="418">
                  <c:v>1</c:v>
                </c:pt>
                <c:pt idx="419">
                  <c:v>1</c:v>
                </c:pt>
                <c:pt idx="420">
                  <c:v>1</c:v>
                </c:pt>
                <c:pt idx="421">
                  <c:v>1</c:v>
                </c:pt>
                <c:pt idx="422">
                  <c:v>1</c:v>
                </c:pt>
                <c:pt idx="423">
                  <c:v>1</c:v>
                </c:pt>
                <c:pt idx="424">
                  <c:v>1</c:v>
                </c:pt>
                <c:pt idx="425">
                  <c:v>1</c:v>
                </c:pt>
                <c:pt idx="426">
                  <c:v>1</c:v>
                </c:pt>
                <c:pt idx="427">
                  <c:v>1</c:v>
                </c:pt>
                <c:pt idx="428">
                  <c:v>1</c:v>
                </c:pt>
                <c:pt idx="429">
                  <c:v>1</c:v>
                </c:pt>
                <c:pt idx="430">
                  <c:v>1</c:v>
                </c:pt>
                <c:pt idx="431">
                  <c:v>1</c:v>
                </c:pt>
                <c:pt idx="432">
                  <c:v>1</c:v>
                </c:pt>
                <c:pt idx="433">
                  <c:v>1</c:v>
                </c:pt>
                <c:pt idx="434">
                  <c:v>1</c:v>
                </c:pt>
                <c:pt idx="435">
                  <c:v>1</c:v>
                </c:pt>
                <c:pt idx="436">
                  <c:v>1</c:v>
                </c:pt>
                <c:pt idx="437">
                  <c:v>1</c:v>
                </c:pt>
                <c:pt idx="438">
                  <c:v>1</c:v>
                </c:pt>
                <c:pt idx="439">
                  <c:v>1</c:v>
                </c:pt>
                <c:pt idx="440">
                  <c:v>1</c:v>
                </c:pt>
                <c:pt idx="441">
                  <c:v>1</c:v>
                </c:pt>
                <c:pt idx="442">
                  <c:v>1</c:v>
                </c:pt>
                <c:pt idx="443">
                  <c:v>1</c:v>
                </c:pt>
                <c:pt idx="444">
                  <c:v>1</c:v>
                </c:pt>
                <c:pt idx="445">
                  <c:v>1</c:v>
                </c:pt>
                <c:pt idx="446">
                  <c:v>1</c:v>
                </c:pt>
                <c:pt idx="447">
                  <c:v>1</c:v>
                </c:pt>
                <c:pt idx="448">
                  <c:v>1</c:v>
                </c:pt>
                <c:pt idx="449">
                  <c:v>1</c:v>
                </c:pt>
                <c:pt idx="450">
                  <c:v>1</c:v>
                </c:pt>
                <c:pt idx="451">
                  <c:v>1</c:v>
                </c:pt>
                <c:pt idx="452">
                  <c:v>1</c:v>
                </c:pt>
                <c:pt idx="453">
                  <c:v>1</c:v>
                </c:pt>
                <c:pt idx="454">
                  <c:v>1</c:v>
                </c:pt>
                <c:pt idx="455">
                  <c:v>1</c:v>
                </c:pt>
                <c:pt idx="456">
                  <c:v>1</c:v>
                </c:pt>
                <c:pt idx="457">
                  <c:v>1</c:v>
                </c:pt>
                <c:pt idx="458">
                  <c:v>1</c:v>
                </c:pt>
                <c:pt idx="459">
                  <c:v>1</c:v>
                </c:pt>
                <c:pt idx="460">
                  <c:v>1</c:v>
                </c:pt>
                <c:pt idx="461">
                  <c:v>1</c:v>
                </c:pt>
                <c:pt idx="462">
                  <c:v>1</c:v>
                </c:pt>
                <c:pt idx="463">
                  <c:v>1</c:v>
                </c:pt>
                <c:pt idx="464">
                  <c:v>1</c:v>
                </c:pt>
                <c:pt idx="465">
                  <c:v>1</c:v>
                </c:pt>
                <c:pt idx="466">
                  <c:v>1</c:v>
                </c:pt>
                <c:pt idx="467">
                  <c:v>1</c:v>
                </c:pt>
                <c:pt idx="468">
                  <c:v>1</c:v>
                </c:pt>
                <c:pt idx="469">
                  <c:v>1</c:v>
                </c:pt>
                <c:pt idx="470">
                  <c:v>1</c:v>
                </c:pt>
                <c:pt idx="471">
                  <c:v>1</c:v>
                </c:pt>
                <c:pt idx="472">
                  <c:v>1</c:v>
                </c:pt>
                <c:pt idx="473">
                  <c:v>1</c:v>
                </c:pt>
                <c:pt idx="474">
                  <c:v>1</c:v>
                </c:pt>
                <c:pt idx="475">
                  <c:v>1</c:v>
                </c:pt>
                <c:pt idx="476">
                  <c:v>1</c:v>
                </c:pt>
                <c:pt idx="477">
                  <c:v>1</c:v>
                </c:pt>
                <c:pt idx="478">
                  <c:v>1</c:v>
                </c:pt>
                <c:pt idx="479">
                  <c:v>1</c:v>
                </c:pt>
                <c:pt idx="480">
                  <c:v>1</c:v>
                </c:pt>
                <c:pt idx="481">
                  <c:v>1</c:v>
                </c:pt>
                <c:pt idx="482">
                  <c:v>1</c:v>
                </c:pt>
                <c:pt idx="483">
                  <c:v>1</c:v>
                </c:pt>
                <c:pt idx="484">
                  <c:v>1</c:v>
                </c:pt>
                <c:pt idx="485">
                  <c:v>1</c:v>
                </c:pt>
                <c:pt idx="486">
                  <c:v>1</c:v>
                </c:pt>
                <c:pt idx="487">
                  <c:v>1</c:v>
                </c:pt>
                <c:pt idx="488">
                  <c:v>1</c:v>
                </c:pt>
                <c:pt idx="489">
                  <c:v>1</c:v>
                </c:pt>
                <c:pt idx="490">
                  <c:v>1</c:v>
                </c:pt>
                <c:pt idx="491">
                  <c:v>1</c:v>
                </c:pt>
                <c:pt idx="492">
                  <c:v>1</c:v>
                </c:pt>
                <c:pt idx="493">
                  <c:v>1</c:v>
                </c:pt>
                <c:pt idx="494">
                  <c:v>1</c:v>
                </c:pt>
                <c:pt idx="495">
                  <c:v>1</c:v>
                </c:pt>
                <c:pt idx="496">
                  <c:v>1</c:v>
                </c:pt>
                <c:pt idx="497">
                  <c:v>1</c:v>
                </c:pt>
                <c:pt idx="498">
                  <c:v>1</c:v>
                </c:pt>
                <c:pt idx="49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813248"/>
        <c:axId val="117815168"/>
      </c:areaChart>
      <c:catAx>
        <c:axId val="117813248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Preço Questionado</a:t>
                </a:r>
              </a:p>
              <a:p>
                <a:pPr>
                  <a:defRPr/>
                </a:pPr>
                <a:r>
                  <a:rPr lang="en-US"/>
                  <a:t>Preço Mediano de Mercado</a:t>
                </a:r>
              </a:p>
            </c:rich>
          </c:tx>
          <c:layout>
            <c:manualLayout>
              <c:xMode val="edge"/>
              <c:yMode val="edge"/>
              <c:x val="0.62700240594925638"/>
              <c:y val="0.8422214931466900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stealth" w="lg" len="lg"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17815168"/>
        <c:crosses val="autoZero"/>
        <c:auto val="1"/>
        <c:lblAlgn val="ctr"/>
        <c:lblOffset val="100"/>
        <c:tickLblSkip val="40"/>
        <c:tickMarkSkip val="20"/>
        <c:noMultiLvlLbl val="0"/>
      </c:catAx>
      <c:valAx>
        <c:axId val="117815168"/>
        <c:scaling>
          <c:orientation val="minMax"/>
          <c:max val="1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Probabilidade de Sobrepreço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out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17813248"/>
        <c:crosses val="autoZero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35896506983371"/>
          <c:y val="5.9701492537313432E-2"/>
          <c:w val="0.73202257920023706"/>
          <c:h val="0.7603252171497559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'Confidence interval'!$B$1</c:f>
              <c:strCache>
                <c:ptCount val="1"/>
                <c:pt idx="0">
                  <c:v>Min (R$)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xVal>
            <c:numRef>
              <c:f>'Confidence interval'!$A$2:$A$35</c:f>
              <c:numCache>
                <c:formatCode>General</c:formatCode>
                <c:ptCount val="34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30</c:v>
                </c:pt>
                <c:pt idx="6">
                  <c:v>40</c:v>
                </c:pt>
                <c:pt idx="7">
                  <c:v>50</c:v>
                </c:pt>
                <c:pt idx="8">
                  <c:v>60</c:v>
                </c:pt>
                <c:pt idx="9">
                  <c:v>70</c:v>
                </c:pt>
                <c:pt idx="10">
                  <c:v>80</c:v>
                </c:pt>
                <c:pt idx="11">
                  <c:v>81</c:v>
                </c:pt>
                <c:pt idx="12">
                  <c:v>82</c:v>
                </c:pt>
                <c:pt idx="13">
                  <c:v>83</c:v>
                </c:pt>
                <c:pt idx="14">
                  <c:v>84</c:v>
                </c:pt>
                <c:pt idx="15">
                  <c:v>85</c:v>
                </c:pt>
                <c:pt idx="16">
                  <c:v>86</c:v>
                </c:pt>
                <c:pt idx="17">
                  <c:v>87</c:v>
                </c:pt>
                <c:pt idx="18">
                  <c:v>88</c:v>
                </c:pt>
                <c:pt idx="19">
                  <c:v>89</c:v>
                </c:pt>
                <c:pt idx="20">
                  <c:v>90</c:v>
                </c:pt>
                <c:pt idx="21">
                  <c:v>91</c:v>
                </c:pt>
                <c:pt idx="22">
                  <c:v>92</c:v>
                </c:pt>
                <c:pt idx="23">
                  <c:v>93</c:v>
                </c:pt>
                <c:pt idx="24">
                  <c:v>94</c:v>
                </c:pt>
                <c:pt idx="25">
                  <c:v>95</c:v>
                </c:pt>
                <c:pt idx="26">
                  <c:v>96</c:v>
                </c:pt>
                <c:pt idx="27">
                  <c:v>97</c:v>
                </c:pt>
                <c:pt idx="28">
                  <c:v>98</c:v>
                </c:pt>
                <c:pt idx="29">
                  <c:v>99</c:v>
                </c:pt>
                <c:pt idx="30">
                  <c:v>99.25</c:v>
                </c:pt>
                <c:pt idx="31">
                  <c:v>99.5</c:v>
                </c:pt>
                <c:pt idx="32">
                  <c:v>99.75</c:v>
                </c:pt>
                <c:pt idx="33">
                  <c:v>99.999999999999901</c:v>
                </c:pt>
              </c:numCache>
            </c:numRef>
          </c:xVal>
          <c:yVal>
            <c:numRef>
              <c:f>'Confidence interval'!$B$2:$B$35</c:f>
              <c:numCache>
                <c:formatCode>#,##0.00</c:formatCode>
                <c:ptCount val="34"/>
                <c:pt idx="0">
                  <c:v>59724.831951974367</c:v>
                </c:pt>
                <c:pt idx="1">
                  <c:v>59487.775435048236</c:v>
                </c:pt>
                <c:pt idx="2">
                  <c:v>59180.071440189495</c:v>
                </c:pt>
                <c:pt idx="3">
                  <c:v>58869.900553560292</c:v>
                </c:pt>
                <c:pt idx="4">
                  <c:v>58561.785078905901</c:v>
                </c:pt>
                <c:pt idx="5">
                  <c:v>57920.498009138399</c:v>
                </c:pt>
                <c:pt idx="6">
                  <c:v>57263.960216682113</c:v>
                </c:pt>
                <c:pt idx="7">
                  <c:v>56544.888976852053</c:v>
                </c:pt>
                <c:pt idx="8">
                  <c:v>55765.527806723272</c:v>
                </c:pt>
                <c:pt idx="9">
                  <c:v>54863.4979135502</c:v>
                </c:pt>
                <c:pt idx="10">
                  <c:v>53770.904620894515</c:v>
                </c:pt>
                <c:pt idx="11">
                  <c:v>53659.754957914476</c:v>
                </c:pt>
                <c:pt idx="12">
                  <c:v>53516.959346895448</c:v>
                </c:pt>
                <c:pt idx="13">
                  <c:v>53363.745544411177</c:v>
                </c:pt>
                <c:pt idx="14">
                  <c:v>53232.223939755924</c:v>
                </c:pt>
                <c:pt idx="15">
                  <c:v>53102.610325436173</c:v>
                </c:pt>
                <c:pt idx="16">
                  <c:v>52959.552363045848</c:v>
                </c:pt>
                <c:pt idx="17">
                  <c:v>52803.531440307299</c:v>
                </c:pt>
                <c:pt idx="18">
                  <c:v>52643.424060159494</c:v>
                </c:pt>
                <c:pt idx="19">
                  <c:v>52473.715399505658</c:v>
                </c:pt>
                <c:pt idx="20">
                  <c:v>52292.380972668252</c:v>
                </c:pt>
                <c:pt idx="21">
                  <c:v>52106.931547729699</c:v>
                </c:pt>
                <c:pt idx="22">
                  <c:v>51910.831372013701</c:v>
                </c:pt>
                <c:pt idx="23">
                  <c:v>51679.322873128396</c:v>
                </c:pt>
                <c:pt idx="24">
                  <c:v>51398.863922592122</c:v>
                </c:pt>
                <c:pt idx="25">
                  <c:v>51100.836398919237</c:v>
                </c:pt>
                <c:pt idx="26">
                  <c:v>50730.245939861401</c:v>
                </c:pt>
                <c:pt idx="27">
                  <c:v>50289.815929352189</c:v>
                </c:pt>
                <c:pt idx="28">
                  <c:v>49777.881943301894</c:v>
                </c:pt>
                <c:pt idx="29">
                  <c:v>48848.851832859378</c:v>
                </c:pt>
                <c:pt idx="30">
                  <c:v>48501.545892088805</c:v>
                </c:pt>
                <c:pt idx="31">
                  <c:v>47987.655131911131</c:v>
                </c:pt>
                <c:pt idx="32">
                  <c:v>47157.289503632775</c:v>
                </c:pt>
                <c:pt idx="33">
                  <c:v>43889.586078629378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'Confidence interval'!$C$1</c:f>
              <c:strCache>
                <c:ptCount val="1"/>
                <c:pt idx="0">
                  <c:v>Max (R$)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xVal>
            <c:numRef>
              <c:f>'Confidence interval'!$A$2:$A$35</c:f>
              <c:numCache>
                <c:formatCode>General</c:formatCode>
                <c:ptCount val="34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30</c:v>
                </c:pt>
                <c:pt idx="6">
                  <c:v>40</c:v>
                </c:pt>
                <c:pt idx="7">
                  <c:v>50</c:v>
                </c:pt>
                <c:pt idx="8">
                  <c:v>60</c:v>
                </c:pt>
                <c:pt idx="9">
                  <c:v>70</c:v>
                </c:pt>
                <c:pt idx="10">
                  <c:v>80</c:v>
                </c:pt>
                <c:pt idx="11">
                  <c:v>81</c:v>
                </c:pt>
                <c:pt idx="12">
                  <c:v>82</c:v>
                </c:pt>
                <c:pt idx="13">
                  <c:v>83</c:v>
                </c:pt>
                <c:pt idx="14">
                  <c:v>84</c:v>
                </c:pt>
                <c:pt idx="15">
                  <c:v>85</c:v>
                </c:pt>
                <c:pt idx="16">
                  <c:v>86</c:v>
                </c:pt>
                <c:pt idx="17">
                  <c:v>87</c:v>
                </c:pt>
                <c:pt idx="18">
                  <c:v>88</c:v>
                </c:pt>
                <c:pt idx="19">
                  <c:v>89</c:v>
                </c:pt>
                <c:pt idx="20">
                  <c:v>90</c:v>
                </c:pt>
                <c:pt idx="21">
                  <c:v>91</c:v>
                </c:pt>
                <c:pt idx="22">
                  <c:v>92</c:v>
                </c:pt>
                <c:pt idx="23">
                  <c:v>93</c:v>
                </c:pt>
                <c:pt idx="24">
                  <c:v>94</c:v>
                </c:pt>
                <c:pt idx="25">
                  <c:v>95</c:v>
                </c:pt>
                <c:pt idx="26">
                  <c:v>96</c:v>
                </c:pt>
                <c:pt idx="27">
                  <c:v>97</c:v>
                </c:pt>
                <c:pt idx="28">
                  <c:v>98</c:v>
                </c:pt>
                <c:pt idx="29">
                  <c:v>99</c:v>
                </c:pt>
                <c:pt idx="30">
                  <c:v>99.25</c:v>
                </c:pt>
                <c:pt idx="31">
                  <c:v>99.5</c:v>
                </c:pt>
                <c:pt idx="32">
                  <c:v>99.75</c:v>
                </c:pt>
                <c:pt idx="33">
                  <c:v>99.999999999999901</c:v>
                </c:pt>
              </c:numCache>
            </c:numRef>
          </c:xVal>
          <c:yVal>
            <c:numRef>
              <c:f>'Confidence interval'!$C$2:$C$35</c:f>
              <c:numCache>
                <c:formatCode>#,##0.00</c:formatCode>
                <c:ptCount val="34"/>
                <c:pt idx="0">
                  <c:v>59836.035009050036</c:v>
                </c:pt>
                <c:pt idx="1">
                  <c:v>60063.24951325998</c:v>
                </c:pt>
                <c:pt idx="2">
                  <c:v>60357.441051922608</c:v>
                </c:pt>
                <c:pt idx="3">
                  <c:v>60684.882571296359</c:v>
                </c:pt>
                <c:pt idx="4">
                  <c:v>61006.24093824951</c:v>
                </c:pt>
                <c:pt idx="5">
                  <c:v>61675.460017671154</c:v>
                </c:pt>
                <c:pt idx="6">
                  <c:v>62380.654266288584</c:v>
                </c:pt>
                <c:pt idx="7">
                  <c:v>63135.400284966934</c:v>
                </c:pt>
                <c:pt idx="8">
                  <c:v>63951.8147780406</c:v>
                </c:pt>
                <c:pt idx="9">
                  <c:v>64909.554452509343</c:v>
                </c:pt>
                <c:pt idx="10">
                  <c:v>66171.068394653936</c:v>
                </c:pt>
                <c:pt idx="11">
                  <c:v>66310.487849060242</c:v>
                </c:pt>
                <c:pt idx="12">
                  <c:v>66457.619945376879</c:v>
                </c:pt>
                <c:pt idx="13">
                  <c:v>66638.38944896005</c:v>
                </c:pt>
                <c:pt idx="14">
                  <c:v>66826.96906673949</c:v>
                </c:pt>
                <c:pt idx="15">
                  <c:v>66997.965004364116</c:v>
                </c:pt>
                <c:pt idx="16">
                  <c:v>67171.812884634317</c:v>
                </c:pt>
                <c:pt idx="17">
                  <c:v>67356.861213768119</c:v>
                </c:pt>
                <c:pt idx="18">
                  <c:v>67563.087814280269</c:v>
                </c:pt>
                <c:pt idx="19">
                  <c:v>67759.571674748426</c:v>
                </c:pt>
                <c:pt idx="20">
                  <c:v>67980.645922840748</c:v>
                </c:pt>
                <c:pt idx="21">
                  <c:v>68208.964709192602</c:v>
                </c:pt>
                <c:pt idx="22">
                  <c:v>68534.914473682031</c:v>
                </c:pt>
                <c:pt idx="23">
                  <c:v>68829.765674493232</c:v>
                </c:pt>
                <c:pt idx="24">
                  <c:v>69202.22302528788</c:v>
                </c:pt>
                <c:pt idx="25">
                  <c:v>69627.204439622466</c:v>
                </c:pt>
                <c:pt idx="26">
                  <c:v>70082.80655432654</c:v>
                </c:pt>
                <c:pt idx="27">
                  <c:v>70701.432618672785</c:v>
                </c:pt>
                <c:pt idx="28">
                  <c:v>71519.386409988103</c:v>
                </c:pt>
                <c:pt idx="29">
                  <c:v>72693.989395532437</c:v>
                </c:pt>
                <c:pt idx="30">
                  <c:v>73194.680491722655</c:v>
                </c:pt>
                <c:pt idx="31">
                  <c:v>73788.750961340731</c:v>
                </c:pt>
                <c:pt idx="32">
                  <c:v>74498.084812655405</c:v>
                </c:pt>
                <c:pt idx="33">
                  <c:v>78122.03467323065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466688"/>
        <c:axId val="144468608"/>
      </c:scatterChart>
      <c:valAx>
        <c:axId val="144466688"/>
        <c:scaling>
          <c:orientation val="minMax"/>
          <c:max val="100"/>
          <c:min val="80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Nível</a:t>
                </a:r>
                <a:r>
                  <a:rPr lang="en-US" sz="1100" baseline="0"/>
                  <a:t> de Confiança</a:t>
                </a:r>
                <a:r>
                  <a:rPr lang="en-US" sz="1100"/>
                  <a:t>(%)</a:t>
                </a:r>
              </a:p>
            </c:rich>
          </c:tx>
          <c:layout>
            <c:manualLayout>
              <c:xMode val="edge"/>
              <c:yMode val="edge"/>
              <c:x val="0.42738856525780083"/>
              <c:y val="0.9150879817092062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44468608"/>
        <c:crosses val="autoZero"/>
        <c:crossBetween val="midCat"/>
      </c:valAx>
      <c:valAx>
        <c:axId val="144468608"/>
        <c:scaling>
          <c:orientation val="minMax"/>
          <c:max val="80000"/>
          <c:min val="40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Preço Total da obra</a:t>
                </a:r>
                <a:r>
                  <a:rPr lang="en-US" sz="1100" baseline="0"/>
                  <a:t> </a:t>
                </a:r>
                <a:r>
                  <a:rPr lang="en-US" sz="1100"/>
                  <a:t>(R$)</a:t>
                </a:r>
              </a:p>
            </c:rich>
          </c:tx>
          <c:layout>
            <c:manualLayout>
              <c:xMode val="edge"/>
              <c:yMode val="edge"/>
              <c:x val="1.4699397324709687E-2"/>
              <c:y val="8.1139328411628325E-2"/>
            </c:manualLayout>
          </c:layout>
          <c:overlay val="0"/>
        </c:title>
        <c:numFmt formatCode="#,##0.00" sourceLinked="1"/>
        <c:majorTickMark val="out"/>
        <c:minorTickMark val="none"/>
        <c:tickLblPos val="nextTo"/>
        <c:crossAx val="14446668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0.93333</cdr:x>
      <cdr:y>0.74377</cdr:y>
    </cdr:from>
    <cdr:to>
      <cdr:x>0.99167</cdr:x>
      <cdr:y>0.84304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67200" y="2040306"/>
          <a:ext cx="266700" cy="2723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18000" tIns="18000" rIns="18000" bIns="18000" rtlCol="0" anchor="ctr" anchorCtr="0">
          <a:spAutoFit/>
        </a:bodyPr>
        <a:lstStyle xmlns:a="http://schemas.openxmlformats.org/drawingml/2006/main"/>
        <a:p xmlns:a="http://schemas.openxmlformats.org/drawingml/2006/main">
          <a:r>
            <a:rPr lang="en-AU" sz="1600">
              <a:latin typeface="Times New Roman" panose="02020603050405020304" pitchFamily="18" charset="0"/>
              <a:cs typeface="Times New Roman" panose="02020603050405020304" pitchFamily="18" charset="0"/>
            </a:rPr>
            <a:t>∞</a:t>
          </a:r>
        </a:p>
      </cdr:txBody>
    </cdr:sp>
  </cdr:relSizeAnchor>
  <cdr:relSizeAnchor xmlns:cdr="http://schemas.openxmlformats.org/drawingml/2006/chartDrawing">
    <cdr:from>
      <cdr:x>0.63333</cdr:x>
      <cdr:y>0.91701</cdr:y>
    </cdr:from>
    <cdr:to>
      <cdr:x>0.9625</cdr:x>
      <cdr:y>0.9173</cdr:y>
    </cdr:to>
    <cdr:cxnSp macro="">
      <cdr:nvCxnSpPr>
        <cdr:cNvPr id="4" name="Straight Connector 3"/>
        <cdr:cNvCxnSpPr/>
      </cdr:nvCxnSpPr>
      <cdr:spPr>
        <a:xfrm xmlns:a="http://schemas.openxmlformats.org/drawingml/2006/main" flipV="1">
          <a:off x="2895585" y="2105025"/>
          <a:ext cx="1504965" cy="670"/>
        </a:xfrm>
        <a:prstGeom xmlns:a="http://schemas.openxmlformats.org/drawingml/2006/main" prst="line">
          <a:avLst/>
        </a:prstGeom>
        <a:ln xmlns:a="http://schemas.openxmlformats.org/drawingml/2006/main" w="952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0.18125</cdr:x>
      <cdr:y>0.30705</cdr:y>
    </cdr:from>
    <cdr:to>
      <cdr:x>0.38542</cdr:x>
      <cdr:y>0.56017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828675" y="704841"/>
          <a:ext cx="933450" cy="5810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en-AU" sz="2400" b="1">
              <a:latin typeface="Times New Roman" panose="02020603050405020304" pitchFamily="18" charset="0"/>
              <a:cs typeface="Times New Roman" panose="02020603050405020304" pitchFamily="18" charset="0"/>
            </a:rPr>
            <a:t>Não!</a:t>
          </a:r>
        </a:p>
      </cdr:txBody>
    </cdr:sp>
  </cdr:relSizeAnchor>
  <cdr:relSizeAnchor xmlns:cdr="http://schemas.openxmlformats.org/drawingml/2006/chartDrawing">
    <cdr:from>
      <cdr:x>0.57986</cdr:x>
      <cdr:y>0.30429</cdr:y>
    </cdr:from>
    <cdr:to>
      <cdr:x>0.7875</cdr:x>
      <cdr:y>0.5574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651120" y="698505"/>
          <a:ext cx="949330" cy="5810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AU" sz="24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Sim!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B46AA-34A4-4BB4-BE76-2F583F67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2017-07-20T12:21:00Z</dcterms:created>
  <dcterms:modified xsi:type="dcterms:W3CDTF">2017-07-20T12:21:00Z</dcterms:modified>
</cp:coreProperties>
</file>