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BE" w:rsidRPr="0057149C" w:rsidRDefault="001628BE" w:rsidP="00824730">
      <w:pPr>
        <w:spacing w:line="240" w:lineRule="auto"/>
        <w:jc w:val="center"/>
        <w:rPr>
          <w:b/>
        </w:rPr>
      </w:pPr>
      <w:r w:rsidRPr="0057149C">
        <w:rPr>
          <w:b/>
        </w:rPr>
        <w:t>Chacina de Colniza/MT – Da identificação dos cadáveres à perícia do local do fato</w:t>
      </w:r>
      <w:r w:rsidR="00753B0A" w:rsidRPr="0057149C">
        <w:rPr>
          <w:b/>
        </w:rPr>
        <w:t>: metodologias e laudo pericial</w:t>
      </w:r>
    </w:p>
    <w:p w:rsidR="00753B0A" w:rsidRDefault="00753B0A" w:rsidP="00824730">
      <w:pPr>
        <w:spacing w:line="240" w:lineRule="auto"/>
        <w:jc w:val="center"/>
        <w:rPr>
          <w:b/>
          <w:highlight w:val="red"/>
        </w:rPr>
      </w:pPr>
    </w:p>
    <w:p w:rsidR="006B0CC4" w:rsidRPr="00FC71F5" w:rsidRDefault="006B0CC4" w:rsidP="00824730">
      <w:pPr>
        <w:spacing w:line="240" w:lineRule="auto"/>
        <w:jc w:val="center"/>
      </w:pPr>
      <w:bookmarkStart w:id="0" w:name="_GoBack"/>
      <w:bookmarkEnd w:id="0"/>
    </w:p>
    <w:p w:rsidR="00A11FB1" w:rsidRDefault="00124234" w:rsidP="00051A3B">
      <w:pPr>
        <w:spacing w:line="240" w:lineRule="auto"/>
        <w:ind w:firstLine="851"/>
        <w:rPr>
          <w:sz w:val="22"/>
          <w:szCs w:val="22"/>
        </w:rPr>
      </w:pPr>
      <w:r w:rsidRPr="00AD19C2">
        <w:rPr>
          <w:sz w:val="22"/>
          <w:szCs w:val="22"/>
        </w:rPr>
        <w:t>Desastre</w:t>
      </w:r>
      <w:r w:rsidR="00A11FB1" w:rsidRPr="00AD19C2">
        <w:rPr>
          <w:sz w:val="22"/>
          <w:szCs w:val="22"/>
        </w:rPr>
        <w:t>s</w:t>
      </w:r>
      <w:r w:rsidRPr="00AD19C2">
        <w:rPr>
          <w:sz w:val="22"/>
          <w:szCs w:val="22"/>
        </w:rPr>
        <w:t xml:space="preserve"> em massa </w:t>
      </w:r>
      <w:r w:rsidR="00FA5DAD" w:rsidRPr="00AD19C2">
        <w:rPr>
          <w:sz w:val="22"/>
          <w:szCs w:val="22"/>
        </w:rPr>
        <w:t>são</w:t>
      </w:r>
      <w:r w:rsidRPr="00AD19C2">
        <w:rPr>
          <w:sz w:val="22"/>
          <w:szCs w:val="22"/>
        </w:rPr>
        <w:t xml:space="preserve"> eventos </w:t>
      </w:r>
      <w:r w:rsidR="00FA5DAD" w:rsidRPr="00AD19C2">
        <w:rPr>
          <w:sz w:val="22"/>
          <w:szCs w:val="22"/>
        </w:rPr>
        <w:t>repentinos e de curta duraç</w:t>
      </w:r>
      <w:r w:rsidR="00A11FB1" w:rsidRPr="00AD19C2">
        <w:rPr>
          <w:sz w:val="22"/>
          <w:szCs w:val="22"/>
        </w:rPr>
        <w:t>ão</w:t>
      </w:r>
      <w:r w:rsidR="00FA5DAD" w:rsidRPr="00AD19C2">
        <w:rPr>
          <w:sz w:val="22"/>
          <w:szCs w:val="22"/>
        </w:rPr>
        <w:t xml:space="preserve"> </w:t>
      </w:r>
      <w:r w:rsidRPr="00AD19C2">
        <w:rPr>
          <w:sz w:val="22"/>
          <w:szCs w:val="22"/>
        </w:rPr>
        <w:t xml:space="preserve">onde </w:t>
      </w:r>
      <w:r w:rsidR="00FA5DAD" w:rsidRPr="00AD19C2">
        <w:rPr>
          <w:sz w:val="22"/>
          <w:szCs w:val="22"/>
        </w:rPr>
        <w:t>devido ao elevado número de vítimas</w:t>
      </w:r>
      <w:r w:rsidR="00AD19C2" w:rsidRPr="00AD19C2">
        <w:rPr>
          <w:sz w:val="22"/>
          <w:szCs w:val="22"/>
        </w:rPr>
        <w:t>,</w:t>
      </w:r>
      <w:r w:rsidR="00FA5DAD" w:rsidRPr="00AD19C2">
        <w:rPr>
          <w:sz w:val="22"/>
          <w:szCs w:val="22"/>
        </w:rPr>
        <w:t xml:space="preserve"> </w:t>
      </w:r>
      <w:r w:rsidRPr="00AD19C2">
        <w:rPr>
          <w:sz w:val="22"/>
          <w:szCs w:val="22"/>
        </w:rPr>
        <w:t>a capacidade de atendimento do local</w:t>
      </w:r>
      <w:r w:rsidR="00F36B4A" w:rsidRPr="00AD19C2">
        <w:rPr>
          <w:sz w:val="22"/>
          <w:szCs w:val="22"/>
        </w:rPr>
        <w:t>,</w:t>
      </w:r>
      <w:r w:rsidRPr="00AD19C2">
        <w:rPr>
          <w:sz w:val="22"/>
          <w:szCs w:val="22"/>
        </w:rPr>
        <w:t xml:space="preserve"> </w:t>
      </w:r>
      <w:r w:rsidR="00FA5DAD" w:rsidRPr="00AD19C2">
        <w:rPr>
          <w:sz w:val="22"/>
          <w:szCs w:val="22"/>
        </w:rPr>
        <w:t>onde o fato aconteceu</w:t>
      </w:r>
      <w:r w:rsidR="00F36B4A" w:rsidRPr="00AD19C2">
        <w:rPr>
          <w:sz w:val="22"/>
          <w:szCs w:val="22"/>
        </w:rPr>
        <w:t>,</w:t>
      </w:r>
      <w:r w:rsidR="00FA5DAD" w:rsidRPr="00AD19C2">
        <w:rPr>
          <w:sz w:val="22"/>
          <w:szCs w:val="22"/>
        </w:rPr>
        <w:t xml:space="preserve"> </w:t>
      </w:r>
      <w:r w:rsidRPr="00AD19C2">
        <w:rPr>
          <w:sz w:val="22"/>
          <w:szCs w:val="22"/>
        </w:rPr>
        <w:t>é</w:t>
      </w:r>
      <w:r w:rsidR="00FA5DAD" w:rsidRPr="00AD19C2">
        <w:rPr>
          <w:sz w:val="22"/>
          <w:szCs w:val="22"/>
        </w:rPr>
        <w:t xml:space="preserve"> grandemente superada, sendo necessário mobilizar recursos externos e/ou realocar recursos afim de atender aquele fato. </w:t>
      </w:r>
      <w:r w:rsidR="00A11FB1" w:rsidRPr="00AD19C2">
        <w:rPr>
          <w:sz w:val="22"/>
          <w:szCs w:val="22"/>
        </w:rPr>
        <w:t>Devido ao seu</w:t>
      </w:r>
      <w:r w:rsidR="00A11FB1">
        <w:rPr>
          <w:sz w:val="22"/>
          <w:szCs w:val="22"/>
        </w:rPr>
        <w:t xml:space="preserve"> caráter calamitoso e violento gera-se uma perturbação e mobilização social muito grande.</w:t>
      </w:r>
      <w:r w:rsidR="00F36B4A">
        <w:rPr>
          <w:sz w:val="22"/>
          <w:szCs w:val="22"/>
        </w:rPr>
        <w:t xml:space="preserve"> </w:t>
      </w:r>
    </w:p>
    <w:p w:rsidR="00AB3037" w:rsidRDefault="00365585" w:rsidP="00051A3B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Segundo a Defesa Civil, o</w:t>
      </w:r>
      <w:r w:rsidR="00A11FB1">
        <w:rPr>
          <w:sz w:val="22"/>
          <w:szCs w:val="22"/>
        </w:rPr>
        <w:t xml:space="preserve">s desastres em massa podem ser </w:t>
      </w:r>
      <w:r>
        <w:rPr>
          <w:sz w:val="22"/>
          <w:szCs w:val="22"/>
        </w:rPr>
        <w:t xml:space="preserve">classificados quanto a sua origem: </w:t>
      </w:r>
      <w:r w:rsidR="00A11FB1">
        <w:rPr>
          <w:sz w:val="22"/>
          <w:szCs w:val="22"/>
        </w:rPr>
        <w:t>causas naturais</w:t>
      </w:r>
      <w:r w:rsidR="00AB3037">
        <w:rPr>
          <w:sz w:val="22"/>
          <w:szCs w:val="22"/>
        </w:rPr>
        <w:t xml:space="preserve"> (terremotos, avalanches, enchentes, tsunamis, furacões, entre outros)</w:t>
      </w:r>
      <w:r>
        <w:rPr>
          <w:sz w:val="22"/>
          <w:szCs w:val="22"/>
        </w:rPr>
        <w:t>,</w:t>
      </w:r>
      <w:r w:rsidR="00AB3037">
        <w:rPr>
          <w:sz w:val="22"/>
          <w:szCs w:val="22"/>
        </w:rPr>
        <w:t xml:space="preserve"> </w:t>
      </w:r>
      <w:r w:rsidR="00A11FB1">
        <w:rPr>
          <w:sz w:val="22"/>
          <w:szCs w:val="22"/>
        </w:rPr>
        <w:t>de ação humana</w:t>
      </w:r>
      <w:r>
        <w:rPr>
          <w:sz w:val="22"/>
          <w:szCs w:val="22"/>
        </w:rPr>
        <w:t>/antropogênicos,</w:t>
      </w:r>
      <w:r w:rsidR="00AB3037">
        <w:rPr>
          <w:sz w:val="22"/>
          <w:szCs w:val="22"/>
        </w:rPr>
        <w:t xml:space="preserve"> seja por ação ou omissão (ataques terroristas, chacinas, quedas de aeronaves, quedas de prédios, </w:t>
      </w:r>
      <w:r>
        <w:rPr>
          <w:sz w:val="22"/>
          <w:szCs w:val="22"/>
        </w:rPr>
        <w:t>entre outros), ou mistos onde neste último a ação ou omissão humana contribui para intensificar, complicar ou agravar os desastres naturais</w:t>
      </w:r>
      <w:r w:rsidR="005B0BB2">
        <w:rPr>
          <w:sz w:val="22"/>
          <w:szCs w:val="22"/>
        </w:rPr>
        <w:t xml:space="preserve"> (deslizamento de terra em área de ocupação irregular, entre outros)</w:t>
      </w:r>
      <w:r>
        <w:rPr>
          <w:sz w:val="22"/>
          <w:szCs w:val="22"/>
        </w:rPr>
        <w:t xml:space="preserve">. </w:t>
      </w:r>
    </w:p>
    <w:p w:rsidR="005B0BB2" w:rsidRDefault="00365585" w:rsidP="005B0BB2">
      <w:pPr>
        <w:spacing w:line="240" w:lineRule="auto"/>
        <w:ind w:firstLine="851"/>
        <w:rPr>
          <w:sz w:val="22"/>
          <w:szCs w:val="22"/>
        </w:rPr>
      </w:pPr>
      <w:r w:rsidRPr="00AD19C2">
        <w:rPr>
          <w:sz w:val="22"/>
          <w:szCs w:val="22"/>
        </w:rPr>
        <w:t>Devido ao grande número de vítimas envolvidas nestes eventos a INTERPOL criou protocolos que auxiliam e agilizam a identificação das vítimas, são os chamados Protocolos de DVI (</w:t>
      </w:r>
      <w:r w:rsidRPr="00AD19C2">
        <w:rPr>
          <w:i/>
          <w:sz w:val="22"/>
          <w:szCs w:val="22"/>
        </w:rPr>
        <w:t>Disaster Victim Identification</w:t>
      </w:r>
      <w:r w:rsidRPr="00AD19C2">
        <w:rPr>
          <w:sz w:val="22"/>
          <w:szCs w:val="22"/>
        </w:rPr>
        <w:t>)</w:t>
      </w:r>
      <w:r w:rsidR="005B0BB2" w:rsidRPr="00AD19C2">
        <w:rPr>
          <w:sz w:val="22"/>
          <w:szCs w:val="22"/>
        </w:rPr>
        <w:t xml:space="preserve">, tais protocolos constituem uma série de etapas e formulários a serem seguidas e utilizados, garantindo a fidedignidade dos dados coletados e agilidade no confronto de informações, como por exemplo os formulários </w:t>
      </w:r>
      <w:r w:rsidR="005B0BB2" w:rsidRPr="00AD19C2">
        <w:rPr>
          <w:i/>
          <w:sz w:val="22"/>
          <w:szCs w:val="22"/>
        </w:rPr>
        <w:t>AM(Ante Mortem)</w:t>
      </w:r>
      <w:r w:rsidR="005B0BB2" w:rsidRPr="00AD19C2">
        <w:rPr>
          <w:sz w:val="22"/>
          <w:szCs w:val="22"/>
        </w:rPr>
        <w:t xml:space="preserve"> e </w:t>
      </w:r>
      <w:r w:rsidR="005B0BB2" w:rsidRPr="00AD19C2">
        <w:rPr>
          <w:i/>
          <w:sz w:val="22"/>
          <w:szCs w:val="22"/>
        </w:rPr>
        <w:t>PM(Post Mortem)</w:t>
      </w:r>
      <w:r w:rsidR="005B0BB2" w:rsidRPr="00AD19C2">
        <w:rPr>
          <w:sz w:val="22"/>
          <w:szCs w:val="22"/>
        </w:rPr>
        <w:t xml:space="preserve">, onde no primeiro os dados são coletados através de familiares das vítimas, de prontuários médicos e odontológicos ou de banco de dados (como no caso de impressões digitais). </w:t>
      </w:r>
      <w:r w:rsidR="000E08B0" w:rsidRPr="00AD19C2">
        <w:rPr>
          <w:sz w:val="22"/>
          <w:szCs w:val="22"/>
        </w:rPr>
        <w:t>Enquanto</w:t>
      </w:r>
      <w:r w:rsidR="005B0BB2" w:rsidRPr="00AD19C2">
        <w:rPr>
          <w:sz w:val="22"/>
          <w:szCs w:val="22"/>
        </w:rPr>
        <w:t xml:space="preserve"> no segundo, os dados são coletados atrav</w:t>
      </w:r>
      <w:r w:rsidR="00121C83" w:rsidRPr="00AD19C2">
        <w:rPr>
          <w:sz w:val="22"/>
          <w:szCs w:val="22"/>
        </w:rPr>
        <w:t>és dos</w:t>
      </w:r>
      <w:r w:rsidR="005B0BB2" w:rsidRPr="00AD19C2">
        <w:rPr>
          <w:sz w:val="22"/>
          <w:szCs w:val="22"/>
        </w:rPr>
        <w:t xml:space="preserve"> </w:t>
      </w:r>
      <w:r w:rsidR="00121C83" w:rsidRPr="00AD19C2">
        <w:rPr>
          <w:sz w:val="22"/>
          <w:szCs w:val="22"/>
        </w:rPr>
        <w:t>exames no</w:t>
      </w:r>
      <w:r w:rsidR="005B0BB2" w:rsidRPr="00AD19C2">
        <w:rPr>
          <w:sz w:val="22"/>
          <w:szCs w:val="22"/>
        </w:rPr>
        <w:t xml:space="preserve"> cadáver</w:t>
      </w:r>
      <w:r w:rsidR="00121C83" w:rsidRPr="00AD19C2">
        <w:rPr>
          <w:sz w:val="22"/>
          <w:szCs w:val="22"/>
        </w:rPr>
        <w:t>, exame</w:t>
      </w:r>
      <w:r w:rsidR="00121C83">
        <w:rPr>
          <w:sz w:val="22"/>
          <w:szCs w:val="22"/>
        </w:rPr>
        <w:t xml:space="preserve"> perinecroscópicos e necroscópicos, como a necrópsia, a necropapiloscopia e o odonto legal, além de quaisquer outros exames cabíveis e necessários que possam auxiliar na maior coleta de dados </w:t>
      </w:r>
      <w:r w:rsidR="00121C83">
        <w:rPr>
          <w:i/>
          <w:sz w:val="22"/>
          <w:szCs w:val="22"/>
        </w:rPr>
        <w:t>post mortem</w:t>
      </w:r>
      <w:r w:rsidR="00121C83">
        <w:rPr>
          <w:sz w:val="22"/>
          <w:szCs w:val="22"/>
        </w:rPr>
        <w:t xml:space="preserve"> possíveis. </w:t>
      </w:r>
    </w:p>
    <w:p w:rsidR="00121C83" w:rsidRPr="00AD19C2" w:rsidRDefault="00121C83" w:rsidP="005B0BB2">
      <w:pPr>
        <w:spacing w:line="240" w:lineRule="auto"/>
        <w:ind w:firstLine="851"/>
        <w:rPr>
          <w:sz w:val="22"/>
          <w:szCs w:val="22"/>
        </w:rPr>
      </w:pPr>
      <w:r w:rsidRPr="00AD19C2">
        <w:rPr>
          <w:sz w:val="22"/>
          <w:szCs w:val="22"/>
        </w:rPr>
        <w:t>Os desastres também podem ser classificados como abertos, fechados ou mistos. Desastres abertos são eventos resultando em um número desconhecido de mortes dos quais não se possuem informações prévias disponíveis</w:t>
      </w:r>
      <w:r w:rsidR="009050D1" w:rsidRPr="00AD19C2">
        <w:rPr>
          <w:sz w:val="22"/>
          <w:szCs w:val="22"/>
        </w:rPr>
        <w:t>, como por exemplo, ataques terroristas</w:t>
      </w:r>
      <w:r w:rsidRPr="00AD19C2">
        <w:rPr>
          <w:sz w:val="22"/>
          <w:szCs w:val="22"/>
        </w:rPr>
        <w:t xml:space="preserve">. </w:t>
      </w:r>
      <w:r w:rsidR="000E08B0" w:rsidRPr="00AD19C2">
        <w:rPr>
          <w:sz w:val="22"/>
          <w:szCs w:val="22"/>
        </w:rPr>
        <w:t>O</w:t>
      </w:r>
      <w:r w:rsidRPr="00AD19C2">
        <w:rPr>
          <w:sz w:val="22"/>
          <w:szCs w:val="22"/>
        </w:rPr>
        <w:t xml:space="preserve">s desastres fechados são eventos relacionados a um grupo determinado de indivíduos, como por exemplo, </w:t>
      </w:r>
      <w:r w:rsidR="009050D1" w:rsidRPr="00AD19C2">
        <w:rPr>
          <w:sz w:val="22"/>
          <w:szCs w:val="22"/>
        </w:rPr>
        <w:t xml:space="preserve">acidentes aéreos que possuem lista de passageiros, facilitando com isso a obtenção dos dados </w:t>
      </w:r>
      <w:r w:rsidR="009050D1" w:rsidRPr="00AD19C2">
        <w:rPr>
          <w:i/>
          <w:sz w:val="22"/>
          <w:szCs w:val="22"/>
        </w:rPr>
        <w:t>ante mortem</w:t>
      </w:r>
      <w:r w:rsidR="009050D1" w:rsidRPr="00AD19C2">
        <w:rPr>
          <w:sz w:val="22"/>
          <w:szCs w:val="22"/>
        </w:rPr>
        <w:t xml:space="preserve"> para posterior confronto. E por fim</w:t>
      </w:r>
      <w:r w:rsidR="000E08B0" w:rsidRPr="00AD19C2">
        <w:rPr>
          <w:sz w:val="22"/>
          <w:szCs w:val="22"/>
        </w:rPr>
        <w:t>,</w:t>
      </w:r>
      <w:r w:rsidR="009050D1" w:rsidRPr="00AD19C2">
        <w:rPr>
          <w:sz w:val="22"/>
          <w:szCs w:val="22"/>
        </w:rPr>
        <w:t xml:space="preserve"> os mistos são eventos onde ocorre a combinação das modalidades aberto e fechado, como por exemplo um acidente aéreo em uma área residencial.</w:t>
      </w:r>
    </w:p>
    <w:p w:rsidR="009050D1" w:rsidRDefault="009050D1" w:rsidP="009050D1">
      <w:pPr>
        <w:spacing w:line="240" w:lineRule="auto"/>
        <w:ind w:firstLine="851"/>
        <w:rPr>
          <w:sz w:val="22"/>
          <w:szCs w:val="22"/>
        </w:rPr>
      </w:pPr>
      <w:r w:rsidRPr="00AD19C2">
        <w:rPr>
          <w:sz w:val="22"/>
          <w:szCs w:val="22"/>
        </w:rPr>
        <w:t>A perícia no local do fato de um desastre em massa é</w:t>
      </w:r>
      <w:r w:rsidR="007B7053" w:rsidRPr="00AD19C2">
        <w:rPr>
          <w:sz w:val="22"/>
          <w:szCs w:val="22"/>
        </w:rPr>
        <w:t xml:space="preserve"> fundamental tanto para</w:t>
      </w:r>
      <w:r w:rsidRPr="00AD19C2">
        <w:rPr>
          <w:sz w:val="22"/>
          <w:szCs w:val="22"/>
        </w:rPr>
        <w:t xml:space="preserve"> materi</w:t>
      </w:r>
      <w:r w:rsidR="007B7053" w:rsidRPr="00AD19C2">
        <w:rPr>
          <w:sz w:val="22"/>
          <w:szCs w:val="22"/>
        </w:rPr>
        <w:t>alizar o fato</w:t>
      </w:r>
      <w:r w:rsidR="007B7053">
        <w:rPr>
          <w:sz w:val="22"/>
          <w:szCs w:val="22"/>
        </w:rPr>
        <w:t xml:space="preserve"> quanto para</w:t>
      </w:r>
      <w:r>
        <w:rPr>
          <w:sz w:val="22"/>
          <w:szCs w:val="22"/>
        </w:rPr>
        <w:t xml:space="preserve"> definir a causa do desastre</w:t>
      </w:r>
      <w:r w:rsidR="007B7053">
        <w:rPr>
          <w:sz w:val="22"/>
          <w:szCs w:val="22"/>
        </w:rPr>
        <w:t>, além de ajudar a reconstruir a maneira como o evento aconteceu</w:t>
      </w:r>
      <w:r w:rsidR="00FB2901">
        <w:rPr>
          <w:sz w:val="22"/>
          <w:szCs w:val="22"/>
        </w:rPr>
        <w:t>. Nos</w:t>
      </w:r>
      <w:r>
        <w:rPr>
          <w:sz w:val="22"/>
          <w:szCs w:val="22"/>
        </w:rPr>
        <w:t xml:space="preserve"> casos </w:t>
      </w:r>
      <w:r w:rsidR="007B7053">
        <w:rPr>
          <w:sz w:val="22"/>
          <w:szCs w:val="22"/>
        </w:rPr>
        <w:t xml:space="preserve">de desastres originados por ação humana, a prova pericial será de grande valia para </w:t>
      </w:r>
      <w:r w:rsidR="0062462D">
        <w:rPr>
          <w:sz w:val="22"/>
          <w:szCs w:val="22"/>
        </w:rPr>
        <w:t>persecução</w:t>
      </w:r>
      <w:r w:rsidR="007B7053">
        <w:rPr>
          <w:sz w:val="22"/>
          <w:szCs w:val="22"/>
        </w:rPr>
        <w:t xml:space="preserve"> penal</w:t>
      </w:r>
      <w:r w:rsidR="0062462D">
        <w:rPr>
          <w:sz w:val="22"/>
          <w:szCs w:val="22"/>
        </w:rPr>
        <w:t xml:space="preserve"> tanto na fase investigativa quanto na fase processual penal</w:t>
      </w:r>
      <w:r w:rsidR="007B7053">
        <w:rPr>
          <w:sz w:val="22"/>
          <w:szCs w:val="22"/>
        </w:rPr>
        <w:t>.</w:t>
      </w:r>
    </w:p>
    <w:p w:rsidR="0062462D" w:rsidRDefault="0062462D" w:rsidP="009050D1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O presente trabalho apresenta o estudo de caso da Chacina ocorrida no assentamento de Taquaruçu do Norte, localizado no município de Colniza, no estado de Mato Grosso, próximo à divisa com o estado de Rondônia.</w:t>
      </w:r>
      <w:r w:rsidR="00753B0A">
        <w:rPr>
          <w:sz w:val="22"/>
          <w:szCs w:val="22"/>
        </w:rPr>
        <w:t xml:space="preserve"> O fato aconteceu no dia 19 de abril de 2017, onde 0</w:t>
      </w:r>
      <w:r w:rsidR="009F0085">
        <w:rPr>
          <w:sz w:val="22"/>
          <w:szCs w:val="22"/>
        </w:rPr>
        <w:t>9</w:t>
      </w:r>
      <w:r w:rsidR="00753B0A">
        <w:rPr>
          <w:sz w:val="22"/>
          <w:szCs w:val="22"/>
        </w:rPr>
        <w:t xml:space="preserve"> </w:t>
      </w:r>
      <w:r w:rsidR="009F0085">
        <w:rPr>
          <w:sz w:val="22"/>
          <w:szCs w:val="22"/>
        </w:rPr>
        <w:t>trabalhadores rurais</w:t>
      </w:r>
      <w:r w:rsidR="00753B0A">
        <w:rPr>
          <w:sz w:val="22"/>
          <w:szCs w:val="22"/>
        </w:rPr>
        <w:t xml:space="preserve"> foram assassinados</w:t>
      </w:r>
      <w:r w:rsidR="009F0085">
        <w:rPr>
          <w:sz w:val="22"/>
          <w:szCs w:val="22"/>
        </w:rPr>
        <w:t xml:space="preserve">. </w:t>
      </w:r>
      <w:r w:rsidR="007A5B5E">
        <w:rPr>
          <w:sz w:val="22"/>
          <w:szCs w:val="22"/>
        </w:rPr>
        <w:t>Serão abordadas as metodologias utilizadas antes, durante e após a necrópsia dos corpos, bem como os detalhes mais relevantes do local de crime e do Laudo Pericial.</w:t>
      </w:r>
    </w:p>
    <w:p w:rsidR="00EB7099" w:rsidRPr="009050D1" w:rsidRDefault="00EB7099" w:rsidP="00EB7099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O trabalho pericial além de materializar o fato ocorrido, teve como objetivos a identificação dos corpos da forma mais célere possível, fornecer informações e registros fotográficos que pudessem ser utilizados para materializar a presença de cada um dos 09 trabalhadores no local da chacina, além da análise direta dos vestígios no local do fato e da análise indireta das fotografias enviadas pela Polícia Judiciária Civil do Estado de Mato Grosso.    </w:t>
      </w:r>
    </w:p>
    <w:p w:rsidR="00C723B6" w:rsidRDefault="00FC1D4B" w:rsidP="00824730">
      <w:pPr>
        <w:spacing w:line="240" w:lineRule="auto"/>
        <w:ind w:firstLine="851"/>
        <w:rPr>
          <w:sz w:val="22"/>
          <w:szCs w:val="22"/>
        </w:rPr>
      </w:pPr>
      <w:r w:rsidRPr="00AD19C2">
        <w:rPr>
          <w:sz w:val="22"/>
          <w:szCs w:val="22"/>
        </w:rPr>
        <w:t xml:space="preserve">A </w:t>
      </w:r>
      <w:r w:rsidR="00EB7099" w:rsidRPr="00AD19C2">
        <w:rPr>
          <w:sz w:val="22"/>
          <w:szCs w:val="22"/>
        </w:rPr>
        <w:t>primeira parte do trabalho pericial</w:t>
      </w:r>
      <w:r w:rsidR="00C723B6" w:rsidRPr="00AD19C2">
        <w:rPr>
          <w:sz w:val="22"/>
          <w:szCs w:val="22"/>
        </w:rPr>
        <w:t xml:space="preserve"> </w:t>
      </w:r>
      <w:r w:rsidRPr="00AD19C2">
        <w:rPr>
          <w:sz w:val="22"/>
          <w:szCs w:val="22"/>
        </w:rPr>
        <w:t xml:space="preserve">foi </w:t>
      </w:r>
      <w:r w:rsidR="00C723B6" w:rsidRPr="00AD19C2">
        <w:rPr>
          <w:sz w:val="22"/>
          <w:szCs w:val="22"/>
        </w:rPr>
        <w:t>a identificação dos corpos</w:t>
      </w:r>
      <w:r w:rsidRPr="00AD19C2">
        <w:rPr>
          <w:sz w:val="22"/>
          <w:szCs w:val="22"/>
        </w:rPr>
        <w:t xml:space="preserve"> que </w:t>
      </w:r>
      <w:r w:rsidR="00AD19C2" w:rsidRPr="00AD19C2">
        <w:rPr>
          <w:sz w:val="22"/>
          <w:szCs w:val="22"/>
        </w:rPr>
        <w:t>se encontravam</w:t>
      </w:r>
      <w:r w:rsidRPr="00AD19C2">
        <w:rPr>
          <w:sz w:val="22"/>
          <w:szCs w:val="22"/>
        </w:rPr>
        <w:t xml:space="preserve"> </w:t>
      </w:r>
      <w:r w:rsidR="00C723B6" w:rsidRPr="00AD19C2">
        <w:rPr>
          <w:sz w:val="22"/>
          <w:szCs w:val="22"/>
        </w:rPr>
        <w:t xml:space="preserve">em avançado estado de putrefação e </w:t>
      </w:r>
      <w:r w:rsidR="00FB2901" w:rsidRPr="00AD19C2">
        <w:rPr>
          <w:sz w:val="22"/>
          <w:szCs w:val="22"/>
        </w:rPr>
        <w:t xml:space="preserve">inicialmente </w:t>
      </w:r>
      <w:r w:rsidR="00C723B6" w:rsidRPr="00AD19C2">
        <w:rPr>
          <w:sz w:val="22"/>
          <w:szCs w:val="22"/>
        </w:rPr>
        <w:t>dentro da caçamba de 01 viatura da Polícia Militar e de 01 viatura da Polícia Judiciária Civil. Procedeu-se então a individualização destes corpos, embalando-os em</w:t>
      </w:r>
      <w:r w:rsidR="00C723B6">
        <w:rPr>
          <w:sz w:val="22"/>
          <w:szCs w:val="22"/>
        </w:rPr>
        <w:t xml:space="preserve"> lonas plásticas com os devidos cuidados para não se perder as luvas cadavéricas e colocando em urnas funerárias</w:t>
      </w:r>
      <w:r w:rsidR="00D42D97">
        <w:rPr>
          <w:sz w:val="22"/>
          <w:szCs w:val="22"/>
        </w:rPr>
        <w:t xml:space="preserve">. Foram coletadas informações </w:t>
      </w:r>
      <w:r w:rsidR="00D42D97">
        <w:rPr>
          <w:i/>
          <w:sz w:val="22"/>
          <w:szCs w:val="22"/>
        </w:rPr>
        <w:t>ante mortem</w:t>
      </w:r>
      <w:r w:rsidR="00D42D97">
        <w:rPr>
          <w:sz w:val="22"/>
          <w:szCs w:val="22"/>
        </w:rPr>
        <w:t xml:space="preserve"> e isso possibilitou colocar uma</w:t>
      </w:r>
      <w:r w:rsidR="00C723B6">
        <w:rPr>
          <w:sz w:val="22"/>
          <w:szCs w:val="22"/>
        </w:rPr>
        <w:t xml:space="preserve"> possível identificaç</w:t>
      </w:r>
      <w:r w:rsidR="00D42D97">
        <w:rPr>
          <w:sz w:val="22"/>
          <w:szCs w:val="22"/>
        </w:rPr>
        <w:t>ão</w:t>
      </w:r>
      <w:r w:rsidR="00C723B6">
        <w:rPr>
          <w:sz w:val="22"/>
          <w:szCs w:val="22"/>
        </w:rPr>
        <w:t xml:space="preserve"> na tampa de cada urna</w:t>
      </w:r>
      <w:r w:rsidR="008C400F">
        <w:rPr>
          <w:sz w:val="22"/>
          <w:szCs w:val="22"/>
        </w:rPr>
        <w:t>, visando auxiliar a identificação final</w:t>
      </w:r>
      <w:r w:rsidR="00C723B6">
        <w:rPr>
          <w:sz w:val="22"/>
          <w:szCs w:val="22"/>
        </w:rPr>
        <w:t>. Após a individualização dos corpos em urnas, estas seguiram de caminhão até o local onde seriam feitas as necrópsias.</w:t>
      </w:r>
    </w:p>
    <w:p w:rsidR="008C400F" w:rsidRPr="00AD19C2" w:rsidRDefault="00C723B6" w:rsidP="00824730">
      <w:pPr>
        <w:spacing w:line="240" w:lineRule="auto"/>
        <w:ind w:firstLine="851"/>
        <w:rPr>
          <w:sz w:val="22"/>
          <w:szCs w:val="22"/>
        </w:rPr>
      </w:pPr>
      <w:r w:rsidRPr="00AD19C2">
        <w:rPr>
          <w:sz w:val="22"/>
          <w:szCs w:val="22"/>
        </w:rPr>
        <w:t>Já no local onde as necrópsias seriam realizadas, delimitou-se um perímetro de segurança</w:t>
      </w:r>
      <w:r w:rsidR="008C400F" w:rsidRPr="00AD19C2">
        <w:rPr>
          <w:sz w:val="22"/>
          <w:szCs w:val="22"/>
        </w:rPr>
        <w:t xml:space="preserve"> com lonas plásticas e tapumes, que impossibilitavam a visualização da parte interna do local</w:t>
      </w:r>
      <w:r w:rsidRPr="00AD19C2">
        <w:rPr>
          <w:sz w:val="22"/>
          <w:szCs w:val="22"/>
        </w:rPr>
        <w:t xml:space="preserve"> e redirecionou-se as famílias para um galpão distando 2,4km do local das necrópsias, neste galpão havia as devidas acomodações </w:t>
      </w:r>
      <w:r w:rsidRPr="00AD19C2">
        <w:rPr>
          <w:sz w:val="22"/>
          <w:szCs w:val="22"/>
        </w:rPr>
        <w:lastRenderedPageBreak/>
        <w:t>para os familiares (sombra, água, ventilador, comida, cadeiras e banheiros)</w:t>
      </w:r>
      <w:r w:rsidR="008C400F" w:rsidRPr="00AD19C2">
        <w:rPr>
          <w:sz w:val="22"/>
          <w:szCs w:val="22"/>
        </w:rPr>
        <w:t xml:space="preserve">. A cada 2h os familiares eram informados sobre o andamento dos trabalhos periciais. </w:t>
      </w:r>
    </w:p>
    <w:p w:rsidR="00AD19C2" w:rsidRDefault="008C400F" w:rsidP="00824730">
      <w:pPr>
        <w:spacing w:line="240" w:lineRule="auto"/>
        <w:ind w:firstLine="851"/>
        <w:rPr>
          <w:sz w:val="22"/>
          <w:szCs w:val="22"/>
        </w:rPr>
      </w:pPr>
      <w:r w:rsidRPr="00AD19C2">
        <w:rPr>
          <w:sz w:val="22"/>
          <w:szCs w:val="22"/>
        </w:rPr>
        <w:t>Durante a</w:t>
      </w:r>
      <w:r w:rsidR="001A7522" w:rsidRPr="00AD19C2">
        <w:rPr>
          <w:sz w:val="22"/>
          <w:szCs w:val="22"/>
        </w:rPr>
        <w:t>s</w:t>
      </w:r>
      <w:r w:rsidRPr="00AD19C2">
        <w:rPr>
          <w:sz w:val="22"/>
          <w:szCs w:val="22"/>
        </w:rPr>
        <w:t xml:space="preserve"> necrópsias, </w:t>
      </w:r>
      <w:r w:rsidR="00D42D97" w:rsidRPr="00AD19C2">
        <w:rPr>
          <w:sz w:val="22"/>
          <w:szCs w:val="22"/>
        </w:rPr>
        <w:t xml:space="preserve">coletou-se informações </w:t>
      </w:r>
      <w:r w:rsidR="00D42D97" w:rsidRPr="00AD19C2">
        <w:rPr>
          <w:i/>
          <w:sz w:val="22"/>
          <w:szCs w:val="22"/>
        </w:rPr>
        <w:t>post mortem</w:t>
      </w:r>
      <w:r w:rsidR="00D42D97" w:rsidRPr="00AD19C2">
        <w:rPr>
          <w:sz w:val="22"/>
          <w:szCs w:val="22"/>
        </w:rPr>
        <w:t xml:space="preserve"> e </w:t>
      </w:r>
      <w:r w:rsidRPr="00AD19C2">
        <w:rPr>
          <w:sz w:val="22"/>
          <w:szCs w:val="22"/>
        </w:rPr>
        <w:t>cada cadáver recebeu um número de identificação, através de um lacre que fora colocado no dedão do pé, tal número era escrito na tampa da urna funerária</w:t>
      </w:r>
      <w:r w:rsidR="00D42D97" w:rsidRPr="00AD19C2">
        <w:rPr>
          <w:sz w:val="22"/>
          <w:szCs w:val="22"/>
        </w:rPr>
        <w:t xml:space="preserve">. O confronto das informações </w:t>
      </w:r>
      <w:r w:rsidR="00D42D97" w:rsidRPr="00AD19C2">
        <w:rPr>
          <w:i/>
          <w:sz w:val="22"/>
          <w:szCs w:val="22"/>
        </w:rPr>
        <w:t xml:space="preserve">ante morte </w:t>
      </w:r>
      <w:r w:rsidR="00D42D97" w:rsidRPr="00AD19C2">
        <w:rPr>
          <w:sz w:val="22"/>
          <w:szCs w:val="22"/>
        </w:rPr>
        <w:t xml:space="preserve">e </w:t>
      </w:r>
      <w:r w:rsidR="00D42D97" w:rsidRPr="00AD19C2">
        <w:rPr>
          <w:i/>
          <w:sz w:val="22"/>
          <w:szCs w:val="22"/>
        </w:rPr>
        <w:t>post mortem</w:t>
      </w:r>
      <w:r w:rsidR="00D42D97" w:rsidRPr="00AD19C2">
        <w:rPr>
          <w:sz w:val="22"/>
          <w:szCs w:val="22"/>
        </w:rPr>
        <w:t xml:space="preserve"> ajudou a agilizar o processo de identificação, reduzindo o universo das possíveis vítimas</w:t>
      </w:r>
      <w:r w:rsidRPr="00AD19C2">
        <w:rPr>
          <w:sz w:val="22"/>
          <w:szCs w:val="22"/>
        </w:rPr>
        <w:t xml:space="preserve"> e após a identificação final, através de necropapiloscopia, os números nas tampas das urnas funerárias eram trocados pelos nomes reais das vítimas</w:t>
      </w:r>
      <w:r w:rsidR="00187D28" w:rsidRPr="00AD19C2">
        <w:rPr>
          <w:sz w:val="22"/>
          <w:szCs w:val="22"/>
        </w:rPr>
        <w:t>.</w:t>
      </w:r>
    </w:p>
    <w:p w:rsidR="0080108D" w:rsidRDefault="00187D28" w:rsidP="00824730">
      <w:pPr>
        <w:spacing w:line="240" w:lineRule="auto"/>
        <w:ind w:firstLine="851"/>
        <w:rPr>
          <w:sz w:val="22"/>
          <w:szCs w:val="22"/>
        </w:rPr>
      </w:pPr>
      <w:r w:rsidRPr="00AD19C2">
        <w:rPr>
          <w:sz w:val="22"/>
          <w:szCs w:val="22"/>
        </w:rPr>
        <w:t>F</w:t>
      </w:r>
      <w:r w:rsidR="008C400F" w:rsidRPr="00AD19C2">
        <w:rPr>
          <w:sz w:val="22"/>
          <w:szCs w:val="22"/>
        </w:rPr>
        <w:t>inalizadas as necrópsias os cadáveres foram liberados para os familiares. Durante a operação de identificação dos corpos, participaram 01 médico legista, 02 peritos criminais, 02 técnicos em necrópsia, 01</w:t>
      </w:r>
      <w:r w:rsidR="008C400F">
        <w:rPr>
          <w:sz w:val="22"/>
          <w:szCs w:val="22"/>
        </w:rPr>
        <w:t xml:space="preserve"> papiloscopista e 01 investigador da polícia civil.</w:t>
      </w:r>
    </w:p>
    <w:p w:rsidR="008C400F" w:rsidRDefault="009530A3" w:rsidP="00824730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8"/>
        <w:gridCol w:w="2917"/>
        <w:gridCol w:w="2855"/>
      </w:tblGrid>
      <w:tr w:rsidR="009530A3" w:rsidTr="000C3688">
        <w:trPr>
          <w:jc w:val="center"/>
        </w:trPr>
        <w:tc>
          <w:tcPr>
            <w:tcW w:w="3608" w:type="dxa"/>
          </w:tcPr>
          <w:p w:rsidR="009530A3" w:rsidRDefault="009530A3" w:rsidP="009530A3">
            <w:pPr>
              <w:spacing w:line="240" w:lineRule="auto"/>
              <w:ind w:right="-109"/>
              <w:rPr>
                <w:b/>
              </w:rPr>
            </w:pPr>
            <w:bookmarkStart w:id="1" w:name="_Toc483743986"/>
          </w:p>
          <w:p w:rsidR="009530A3" w:rsidRDefault="009530A3" w:rsidP="009530A3">
            <w:pPr>
              <w:spacing w:line="240" w:lineRule="auto"/>
              <w:ind w:right="-109"/>
              <w:rPr>
                <w:b/>
              </w:rPr>
            </w:pPr>
          </w:p>
          <w:p w:rsidR="009530A3" w:rsidRDefault="009530A3" w:rsidP="009530A3">
            <w:pPr>
              <w:spacing w:line="240" w:lineRule="auto"/>
              <w:ind w:right="-109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772ED447" wp14:editId="5A92ADB0">
                  <wp:simplePos x="0" y="0"/>
                  <wp:positionH relativeFrom="column">
                    <wp:posOffset>-567512</wp:posOffset>
                  </wp:positionH>
                  <wp:positionV relativeFrom="paragraph">
                    <wp:posOffset>226747</wp:posOffset>
                  </wp:positionV>
                  <wp:extent cx="2114550" cy="997585"/>
                  <wp:effectExtent l="0" t="552450" r="0" b="545465"/>
                  <wp:wrapNone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G_2299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114550" cy="997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30A3" w:rsidRDefault="009530A3" w:rsidP="009530A3">
            <w:pPr>
              <w:spacing w:line="240" w:lineRule="auto"/>
              <w:ind w:right="-109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0264F4E3" wp14:editId="76134F20">
                  <wp:simplePos x="0" y="0"/>
                  <wp:positionH relativeFrom="column">
                    <wp:posOffset>588239</wp:posOffset>
                  </wp:positionH>
                  <wp:positionV relativeFrom="paragraph">
                    <wp:posOffset>21920</wp:posOffset>
                  </wp:positionV>
                  <wp:extent cx="2060575" cy="1079500"/>
                  <wp:effectExtent l="0" t="495300" r="0" b="463550"/>
                  <wp:wrapNone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G_2327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6200000">
                            <a:off x="0" y="0"/>
                            <a:ext cx="2060575" cy="107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530A3" w:rsidRDefault="009530A3" w:rsidP="009530A3">
            <w:pPr>
              <w:spacing w:line="240" w:lineRule="auto"/>
              <w:ind w:right="-109"/>
              <w:rPr>
                <w:b/>
              </w:rPr>
            </w:pPr>
          </w:p>
          <w:p w:rsidR="009530A3" w:rsidRDefault="009530A3" w:rsidP="009530A3">
            <w:pPr>
              <w:spacing w:line="240" w:lineRule="auto"/>
              <w:ind w:right="-109"/>
              <w:rPr>
                <w:b/>
              </w:rPr>
            </w:pPr>
          </w:p>
          <w:p w:rsidR="009530A3" w:rsidRDefault="009530A3" w:rsidP="009530A3">
            <w:pPr>
              <w:spacing w:line="240" w:lineRule="auto"/>
              <w:ind w:right="-109"/>
              <w:rPr>
                <w:b/>
              </w:rPr>
            </w:pPr>
          </w:p>
          <w:p w:rsidR="009530A3" w:rsidRDefault="009530A3" w:rsidP="009530A3">
            <w:pPr>
              <w:spacing w:line="240" w:lineRule="auto"/>
              <w:ind w:right="-109"/>
              <w:rPr>
                <w:b/>
              </w:rPr>
            </w:pPr>
          </w:p>
          <w:p w:rsidR="009530A3" w:rsidRDefault="009530A3" w:rsidP="009530A3">
            <w:pPr>
              <w:spacing w:line="240" w:lineRule="auto"/>
              <w:ind w:right="-109"/>
              <w:rPr>
                <w:b/>
              </w:rPr>
            </w:pPr>
          </w:p>
          <w:p w:rsidR="009530A3" w:rsidRDefault="009530A3" w:rsidP="009530A3">
            <w:pPr>
              <w:spacing w:line="240" w:lineRule="auto"/>
              <w:ind w:right="-109"/>
              <w:rPr>
                <w:b/>
              </w:rPr>
            </w:pPr>
          </w:p>
          <w:p w:rsidR="009530A3" w:rsidRDefault="009530A3" w:rsidP="009530A3">
            <w:pPr>
              <w:spacing w:line="240" w:lineRule="auto"/>
              <w:ind w:right="-109"/>
              <w:rPr>
                <w:b/>
              </w:rPr>
            </w:pPr>
          </w:p>
          <w:p w:rsidR="009530A3" w:rsidRDefault="009530A3" w:rsidP="009530A3">
            <w:pPr>
              <w:spacing w:line="240" w:lineRule="auto"/>
              <w:ind w:right="-109"/>
              <w:rPr>
                <w:b/>
              </w:rPr>
            </w:pPr>
          </w:p>
          <w:bookmarkEnd w:id="1"/>
          <w:p w:rsidR="009530A3" w:rsidRPr="009530A3" w:rsidRDefault="009530A3" w:rsidP="009530A3">
            <w:pPr>
              <w:spacing w:line="240" w:lineRule="auto"/>
              <w:ind w:right="-109"/>
              <w:rPr>
                <w:b/>
                <w:highlight w:val="yellow"/>
              </w:rPr>
            </w:pPr>
          </w:p>
        </w:tc>
        <w:tc>
          <w:tcPr>
            <w:tcW w:w="2917" w:type="dxa"/>
          </w:tcPr>
          <w:p w:rsidR="009530A3" w:rsidRDefault="009530A3" w:rsidP="008C400F">
            <w:pPr>
              <w:spacing w:line="240" w:lineRule="auto"/>
              <w:jc w:val="center"/>
              <w:rPr>
                <w:b/>
                <w:highlight w:val="yellow"/>
              </w:rPr>
            </w:pPr>
          </w:p>
          <w:p w:rsidR="009530A3" w:rsidRDefault="009530A3" w:rsidP="009530A3">
            <w:pPr>
              <w:spacing w:line="240" w:lineRule="auto"/>
              <w:jc w:val="center"/>
              <w:rPr>
                <w:b/>
                <w:highlight w:val="yellow"/>
              </w:rPr>
            </w:pPr>
          </w:p>
          <w:p w:rsidR="009530A3" w:rsidRDefault="009530A3" w:rsidP="009530A3">
            <w:pPr>
              <w:spacing w:line="240" w:lineRule="auto"/>
              <w:jc w:val="center"/>
              <w:rPr>
                <w:b/>
                <w:highlight w:val="yellow"/>
              </w:rPr>
            </w:pPr>
          </w:p>
          <w:p w:rsidR="009530A3" w:rsidRDefault="009530A3" w:rsidP="009530A3">
            <w:pPr>
              <w:spacing w:line="240" w:lineRule="auto"/>
              <w:jc w:val="center"/>
              <w:rPr>
                <w:highlight w:val="yellow"/>
              </w:rPr>
            </w:pPr>
            <w:bookmarkStart w:id="2" w:name="_Toc483744008"/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60300</wp:posOffset>
                  </wp:positionH>
                  <wp:positionV relativeFrom="paragraph">
                    <wp:posOffset>209601</wp:posOffset>
                  </wp:positionV>
                  <wp:extent cx="1566599" cy="1367942"/>
                  <wp:effectExtent l="0" t="0" r="0" b="0"/>
                  <wp:wrapNone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102_9829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45"/>
                          <a:stretch/>
                        </pic:blipFill>
                        <pic:spPr bwMode="auto">
                          <a:xfrm>
                            <a:off x="0" y="0"/>
                            <a:ext cx="1566599" cy="1367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bookmarkEnd w:id="2"/>
          </w:p>
        </w:tc>
        <w:tc>
          <w:tcPr>
            <w:tcW w:w="2855" w:type="dxa"/>
          </w:tcPr>
          <w:p w:rsidR="009530A3" w:rsidRDefault="009530A3" w:rsidP="008C400F">
            <w:pPr>
              <w:spacing w:line="240" w:lineRule="auto"/>
              <w:jc w:val="center"/>
              <w:rPr>
                <w:b/>
                <w:highlight w:val="yellow"/>
              </w:rPr>
            </w:pPr>
            <w:bookmarkStart w:id="3" w:name="_Toc483744010"/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-31801</wp:posOffset>
                  </wp:positionH>
                  <wp:positionV relativeFrom="paragraph">
                    <wp:posOffset>258749</wp:posOffset>
                  </wp:positionV>
                  <wp:extent cx="1666705" cy="1675180"/>
                  <wp:effectExtent l="0" t="0" r="0" b="0"/>
                  <wp:wrapNone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DSC04199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69" r="29003" b="-305"/>
                          <a:stretch/>
                        </pic:blipFill>
                        <pic:spPr bwMode="auto">
                          <a:xfrm>
                            <a:off x="0" y="0"/>
                            <a:ext cx="1666705" cy="1675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3"/>
          </w:p>
        </w:tc>
      </w:tr>
      <w:tr w:rsidR="009530A3" w:rsidTr="000C3688">
        <w:trPr>
          <w:jc w:val="center"/>
        </w:trPr>
        <w:tc>
          <w:tcPr>
            <w:tcW w:w="3608" w:type="dxa"/>
          </w:tcPr>
          <w:p w:rsidR="009530A3" w:rsidRDefault="009530A3" w:rsidP="009530A3">
            <w:pPr>
              <w:spacing w:line="240" w:lineRule="auto"/>
              <w:ind w:right="-109"/>
              <w:jc w:val="center"/>
              <w:rPr>
                <w:noProof/>
                <w:lang w:val="en-US"/>
              </w:rPr>
            </w:pPr>
            <w:r w:rsidRPr="009530A3">
              <w:rPr>
                <w:b/>
              </w:rPr>
              <w:t>Figura 1.</w:t>
            </w:r>
            <w:r w:rsidRPr="009530A3">
              <w:t xml:space="preserve"> Cadáveres individualizados.</w:t>
            </w:r>
          </w:p>
        </w:tc>
        <w:tc>
          <w:tcPr>
            <w:tcW w:w="2917" w:type="dxa"/>
          </w:tcPr>
          <w:p w:rsidR="009530A3" w:rsidRDefault="009530A3" w:rsidP="009530A3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9530A3">
              <w:rPr>
                <w:b/>
              </w:rPr>
              <w:t>Figura 2.</w:t>
            </w:r>
            <w:r w:rsidRPr="009530A3">
              <w:t xml:space="preserve"> Identificação numérica do cadáver.</w:t>
            </w:r>
          </w:p>
        </w:tc>
        <w:tc>
          <w:tcPr>
            <w:tcW w:w="2855" w:type="dxa"/>
          </w:tcPr>
          <w:p w:rsidR="009530A3" w:rsidRDefault="009530A3" w:rsidP="009530A3">
            <w:pPr>
              <w:spacing w:line="240" w:lineRule="auto"/>
              <w:jc w:val="center"/>
              <w:rPr>
                <w:b/>
                <w:highlight w:val="yellow"/>
              </w:rPr>
            </w:pPr>
            <w:r w:rsidRPr="009530A3">
              <w:rPr>
                <w:b/>
              </w:rPr>
              <w:t xml:space="preserve">Figura </w:t>
            </w:r>
            <w:r>
              <w:rPr>
                <w:b/>
              </w:rPr>
              <w:t>3</w:t>
            </w:r>
            <w:r w:rsidRPr="009530A3">
              <w:rPr>
                <w:b/>
              </w:rPr>
              <w:t>.</w:t>
            </w:r>
            <w:r w:rsidRPr="009530A3">
              <w:t xml:space="preserve"> Identificação </w:t>
            </w:r>
            <w:r>
              <w:t>final</w:t>
            </w:r>
            <w:r w:rsidRPr="009530A3">
              <w:t xml:space="preserve"> do cadáver</w:t>
            </w:r>
            <w:r>
              <w:t xml:space="preserve"> na urna.</w:t>
            </w:r>
          </w:p>
        </w:tc>
      </w:tr>
    </w:tbl>
    <w:p w:rsidR="000C3688" w:rsidRDefault="000C3688" w:rsidP="008C400F">
      <w:pPr>
        <w:spacing w:line="240" w:lineRule="auto"/>
        <w:rPr>
          <w:sz w:val="22"/>
          <w:szCs w:val="22"/>
        </w:rPr>
      </w:pPr>
      <w:r w:rsidRPr="000C3688">
        <w:rPr>
          <w:sz w:val="22"/>
          <w:szCs w:val="22"/>
        </w:rPr>
        <w:tab/>
      </w:r>
    </w:p>
    <w:p w:rsidR="000C3688" w:rsidRDefault="000C3688" w:rsidP="000C3688">
      <w:pPr>
        <w:spacing w:line="240" w:lineRule="auto"/>
        <w:ind w:firstLine="708"/>
        <w:rPr>
          <w:sz w:val="22"/>
          <w:szCs w:val="22"/>
        </w:rPr>
      </w:pPr>
      <w:r w:rsidRPr="000C3688">
        <w:rPr>
          <w:sz w:val="22"/>
          <w:szCs w:val="22"/>
        </w:rPr>
        <w:t xml:space="preserve">Na segunda </w:t>
      </w:r>
      <w:r>
        <w:rPr>
          <w:sz w:val="22"/>
          <w:szCs w:val="22"/>
        </w:rPr>
        <w:t xml:space="preserve">parte do trabalho pericial, a perícia no local do fato, </w:t>
      </w:r>
      <w:r w:rsidR="00D42D97">
        <w:rPr>
          <w:sz w:val="22"/>
          <w:szCs w:val="22"/>
        </w:rPr>
        <w:t xml:space="preserve">os peritos </w:t>
      </w:r>
      <w:r>
        <w:rPr>
          <w:sz w:val="22"/>
          <w:szCs w:val="22"/>
        </w:rPr>
        <w:t>percorre</w:t>
      </w:r>
      <w:r w:rsidR="00D42D97">
        <w:rPr>
          <w:sz w:val="22"/>
          <w:szCs w:val="22"/>
        </w:rPr>
        <w:t>ram</w:t>
      </w:r>
      <w:r>
        <w:rPr>
          <w:sz w:val="22"/>
          <w:szCs w:val="22"/>
        </w:rPr>
        <w:t xml:space="preserve"> a pé os 9km da Linha 15 de Taquaruçu do Norte, local onde ocorreu a chacina, deslocando-se de imóvel em imóvel ao longo da Linha 15. Os</w:t>
      </w:r>
      <w:r w:rsidR="00E41209">
        <w:rPr>
          <w:sz w:val="22"/>
          <w:szCs w:val="22"/>
        </w:rPr>
        <w:t xml:space="preserve"> 03</w:t>
      </w:r>
      <w:r>
        <w:rPr>
          <w:sz w:val="22"/>
          <w:szCs w:val="22"/>
        </w:rPr>
        <w:t xml:space="preserve"> peritos</w:t>
      </w:r>
      <w:r w:rsidR="00E41209">
        <w:rPr>
          <w:sz w:val="22"/>
          <w:szCs w:val="22"/>
        </w:rPr>
        <w:t xml:space="preserve"> criminais</w:t>
      </w:r>
      <w:r>
        <w:rPr>
          <w:sz w:val="22"/>
          <w:szCs w:val="22"/>
        </w:rPr>
        <w:t xml:space="preserve"> foram conduzidos no local por 02 guias e acompanhados por 02 policiais militares. Foram realizados </w:t>
      </w:r>
      <w:r w:rsidR="00D42D97">
        <w:rPr>
          <w:sz w:val="22"/>
          <w:szCs w:val="22"/>
        </w:rPr>
        <w:t xml:space="preserve">diversos </w:t>
      </w:r>
      <w:r>
        <w:rPr>
          <w:sz w:val="22"/>
          <w:szCs w:val="22"/>
        </w:rPr>
        <w:t xml:space="preserve">registros fotográficos e coletados vestígios relacionados ao fato. </w:t>
      </w:r>
    </w:p>
    <w:p w:rsidR="008C400F" w:rsidRDefault="000C3688" w:rsidP="00520051">
      <w:pPr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Na terceira parte do trabalho pericial, o Laudo Pericial, o Perito fez uma análise direta dos vestígios encontrados no local do fato e confrontou estas informações com </w:t>
      </w:r>
      <w:r w:rsidR="00520051">
        <w:rPr>
          <w:sz w:val="22"/>
          <w:szCs w:val="22"/>
        </w:rPr>
        <w:t xml:space="preserve">as informações </w:t>
      </w:r>
      <w:r w:rsidR="00D42D97">
        <w:rPr>
          <w:i/>
          <w:sz w:val="22"/>
          <w:szCs w:val="22"/>
        </w:rPr>
        <w:t xml:space="preserve">post mortem </w:t>
      </w:r>
      <w:r w:rsidR="00520051">
        <w:rPr>
          <w:sz w:val="22"/>
          <w:szCs w:val="22"/>
        </w:rPr>
        <w:t>coletadas durante as necrópsias, bem como fora realizada uma análise indireta das fotografias enviadas pela Polícia Judiciária Civil</w:t>
      </w:r>
      <w:r w:rsidR="00D42D97">
        <w:rPr>
          <w:sz w:val="22"/>
          <w:szCs w:val="22"/>
        </w:rPr>
        <w:t xml:space="preserve"> e</w:t>
      </w:r>
      <w:r w:rsidR="00520051">
        <w:rPr>
          <w:sz w:val="22"/>
          <w:szCs w:val="22"/>
        </w:rPr>
        <w:t xml:space="preserve"> também fora realizado um confronto com as informações analisadas a partir dos vestígios e das necrópsias, tudo isso com o intuito de poder materializar </w:t>
      </w:r>
      <w:r w:rsidR="00D42D97">
        <w:rPr>
          <w:sz w:val="22"/>
          <w:szCs w:val="22"/>
        </w:rPr>
        <w:t xml:space="preserve">a presença de cada um dos 09 corpos no </w:t>
      </w:r>
      <w:r w:rsidR="00520051">
        <w:rPr>
          <w:sz w:val="22"/>
          <w:szCs w:val="22"/>
        </w:rPr>
        <w:t xml:space="preserve">local </w:t>
      </w:r>
      <w:r w:rsidR="00FC7D58">
        <w:rPr>
          <w:sz w:val="22"/>
          <w:szCs w:val="22"/>
        </w:rPr>
        <w:t xml:space="preserve">e </w:t>
      </w:r>
      <w:r w:rsidR="00520051">
        <w:rPr>
          <w:sz w:val="22"/>
          <w:szCs w:val="22"/>
        </w:rPr>
        <w:t>no dia do fato, uma vez que este fora desfeito antes da chegada da equipe pericial.</w:t>
      </w:r>
    </w:p>
    <w:p w:rsidR="00520051" w:rsidRDefault="00520051" w:rsidP="00520051">
      <w:pPr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Através das análises diretas e </w:t>
      </w:r>
      <w:r w:rsidRPr="00AD19C2">
        <w:rPr>
          <w:sz w:val="22"/>
          <w:szCs w:val="22"/>
        </w:rPr>
        <w:t>indiretas, p</w:t>
      </w:r>
      <w:r w:rsidR="00187D28" w:rsidRPr="00AD19C2">
        <w:rPr>
          <w:sz w:val="22"/>
          <w:szCs w:val="22"/>
        </w:rPr>
        <w:t>ô</w:t>
      </w:r>
      <w:r w:rsidRPr="00AD19C2">
        <w:rPr>
          <w:sz w:val="22"/>
          <w:szCs w:val="22"/>
        </w:rPr>
        <w:t>de-se materializar a presença das 09 v</w:t>
      </w:r>
      <w:r w:rsidR="00A878F6" w:rsidRPr="00AD19C2">
        <w:rPr>
          <w:sz w:val="22"/>
          <w:szCs w:val="22"/>
        </w:rPr>
        <w:t xml:space="preserve">ítimas no local do fato e </w:t>
      </w:r>
      <w:r w:rsidRPr="00AD19C2">
        <w:rPr>
          <w:sz w:val="22"/>
          <w:szCs w:val="22"/>
        </w:rPr>
        <w:t xml:space="preserve">determinar a localização exata de </w:t>
      </w:r>
      <w:r w:rsidR="00FC7D58" w:rsidRPr="00AD19C2">
        <w:rPr>
          <w:sz w:val="22"/>
          <w:szCs w:val="22"/>
        </w:rPr>
        <w:t>07</w:t>
      </w:r>
      <w:r w:rsidR="00FC7D58">
        <w:rPr>
          <w:sz w:val="22"/>
          <w:szCs w:val="22"/>
        </w:rPr>
        <w:t xml:space="preserve"> dela</w:t>
      </w:r>
      <w:r>
        <w:rPr>
          <w:sz w:val="22"/>
          <w:szCs w:val="22"/>
        </w:rPr>
        <w:t xml:space="preserve">s, além de </w:t>
      </w:r>
      <w:r w:rsidR="00A878F6">
        <w:rPr>
          <w:sz w:val="22"/>
          <w:szCs w:val="22"/>
        </w:rPr>
        <w:t>inferir</w:t>
      </w:r>
      <w:r>
        <w:rPr>
          <w:sz w:val="22"/>
          <w:szCs w:val="22"/>
        </w:rPr>
        <w:t xml:space="preserve"> que todas as lesões nos corpos era</w:t>
      </w:r>
      <w:r w:rsidR="00A878F6">
        <w:rPr>
          <w:sz w:val="22"/>
          <w:szCs w:val="22"/>
        </w:rPr>
        <w:t>m</w:t>
      </w:r>
      <w:r>
        <w:rPr>
          <w:sz w:val="22"/>
          <w:szCs w:val="22"/>
        </w:rPr>
        <w:t xml:space="preserve"> oriundas de arma(s) de fogo e/ou instrumento</w:t>
      </w:r>
      <w:r w:rsidR="00A878F6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A878F6">
        <w:rPr>
          <w:sz w:val="22"/>
          <w:szCs w:val="22"/>
        </w:rPr>
        <w:t>)</w:t>
      </w:r>
      <w:r>
        <w:rPr>
          <w:sz w:val="22"/>
          <w:szCs w:val="22"/>
        </w:rPr>
        <w:t xml:space="preserve"> cortocontundente</w:t>
      </w:r>
      <w:r w:rsidR="00A878F6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A878F6">
        <w:rPr>
          <w:sz w:val="22"/>
          <w:szCs w:val="22"/>
        </w:rPr>
        <w:t>)</w:t>
      </w:r>
      <w:r>
        <w:rPr>
          <w:sz w:val="22"/>
          <w:szCs w:val="22"/>
        </w:rPr>
        <w:t>, bem como ressaltar elementos que podem ser utilizados como agravantes durante o processo penal, como lesõe</w:t>
      </w:r>
      <w:r w:rsidR="00E41209">
        <w:rPr>
          <w:sz w:val="22"/>
          <w:szCs w:val="22"/>
        </w:rPr>
        <w:t xml:space="preserve">s na parte posterior do corpo, disparos encostados e a curta distância, além do uso de instrumentos </w:t>
      </w:r>
      <w:r w:rsidR="00E41209" w:rsidRPr="00AD19C2">
        <w:rPr>
          <w:sz w:val="22"/>
          <w:szCs w:val="22"/>
        </w:rPr>
        <w:t>constrictores nas mão</w:t>
      </w:r>
      <w:r w:rsidR="00187D28" w:rsidRPr="00AD19C2">
        <w:rPr>
          <w:sz w:val="22"/>
          <w:szCs w:val="22"/>
        </w:rPr>
        <w:t>s</w:t>
      </w:r>
      <w:r w:rsidR="00E41209">
        <w:rPr>
          <w:sz w:val="22"/>
          <w:szCs w:val="22"/>
        </w:rPr>
        <w:t xml:space="preserve"> de alguns cadáveres</w:t>
      </w:r>
      <w:r>
        <w:rPr>
          <w:sz w:val="22"/>
          <w:szCs w:val="22"/>
        </w:rPr>
        <w:t>.</w:t>
      </w:r>
    </w:p>
    <w:p w:rsidR="00520051" w:rsidRPr="001628BE" w:rsidRDefault="00520051" w:rsidP="00520051">
      <w:pPr>
        <w:spacing w:line="240" w:lineRule="auto"/>
        <w:rPr>
          <w:sz w:val="22"/>
          <w:szCs w:val="22"/>
          <w:highlight w:val="yellow"/>
        </w:rPr>
      </w:pPr>
    </w:p>
    <w:p w:rsidR="0065142A" w:rsidRPr="00EA3CD7" w:rsidRDefault="0065142A" w:rsidP="0065142A">
      <w:pPr>
        <w:pStyle w:val="Nivel1"/>
        <w:spacing w:line="240" w:lineRule="auto"/>
        <w:rPr>
          <w:sz w:val="20"/>
          <w:szCs w:val="22"/>
        </w:rPr>
      </w:pPr>
      <w:bookmarkStart w:id="4" w:name="_Toc311228598"/>
      <w:r w:rsidRPr="00EA3CD7">
        <w:rPr>
          <w:sz w:val="20"/>
          <w:szCs w:val="22"/>
        </w:rPr>
        <w:t>REFERÊNCIAS BIBLIOGRÁFICAS</w:t>
      </w:r>
      <w:bookmarkEnd w:id="4"/>
    </w:p>
    <w:p w:rsidR="0065142A" w:rsidRPr="00C7709B" w:rsidRDefault="0039084A" w:rsidP="0039084A">
      <w:pPr>
        <w:spacing w:line="240" w:lineRule="auto"/>
        <w:rPr>
          <w:sz w:val="20"/>
          <w:szCs w:val="22"/>
        </w:rPr>
      </w:pPr>
      <w:r w:rsidRPr="00C7709B">
        <w:rPr>
          <w:sz w:val="20"/>
          <w:szCs w:val="22"/>
          <w:lang w:val="en-US"/>
        </w:rPr>
        <w:t xml:space="preserve">1. </w:t>
      </w:r>
      <w:r w:rsidR="001B6A7C" w:rsidRPr="0039084A">
        <w:rPr>
          <w:bCs/>
          <w:sz w:val="20"/>
          <w:szCs w:val="22"/>
          <w:lang w:val="en-US"/>
        </w:rPr>
        <w:t>INTERPOL.</w:t>
      </w:r>
      <w:r w:rsidR="0065142A" w:rsidRPr="0039084A">
        <w:rPr>
          <w:bCs/>
          <w:sz w:val="20"/>
          <w:szCs w:val="22"/>
          <w:lang w:val="en-US"/>
        </w:rPr>
        <w:t xml:space="preserve"> </w:t>
      </w:r>
      <w:r w:rsidR="001B6A7C" w:rsidRPr="0039084A">
        <w:rPr>
          <w:bCs/>
          <w:i/>
          <w:sz w:val="20"/>
          <w:szCs w:val="22"/>
          <w:lang w:val="en-US"/>
        </w:rPr>
        <w:t xml:space="preserve">Disaster Victim </w:t>
      </w:r>
      <w:r w:rsidR="00EA3CD7" w:rsidRPr="0039084A">
        <w:rPr>
          <w:bCs/>
          <w:i/>
          <w:sz w:val="20"/>
          <w:szCs w:val="22"/>
          <w:lang w:val="en-US"/>
        </w:rPr>
        <w:t>Identification</w:t>
      </w:r>
      <w:r w:rsidR="001B6A7C" w:rsidRPr="0039084A">
        <w:rPr>
          <w:bCs/>
          <w:i/>
          <w:sz w:val="20"/>
          <w:szCs w:val="22"/>
          <w:lang w:val="en-US"/>
        </w:rPr>
        <w:t xml:space="preserve"> Guide</w:t>
      </w:r>
      <w:r w:rsidR="0065142A" w:rsidRPr="0039084A">
        <w:rPr>
          <w:sz w:val="20"/>
          <w:szCs w:val="22"/>
          <w:lang w:val="en-US"/>
        </w:rPr>
        <w:t>.</w:t>
      </w:r>
      <w:r w:rsidR="00EA3CD7" w:rsidRPr="0039084A">
        <w:rPr>
          <w:sz w:val="20"/>
          <w:szCs w:val="22"/>
          <w:lang w:val="en-US"/>
        </w:rPr>
        <w:t xml:space="preserve"> </w:t>
      </w:r>
      <w:r w:rsidR="00EA3CD7" w:rsidRPr="00C7709B">
        <w:rPr>
          <w:sz w:val="20"/>
          <w:szCs w:val="22"/>
        </w:rPr>
        <w:t>2014, 127p</w:t>
      </w:r>
      <w:r w:rsidR="0065142A" w:rsidRPr="00C7709B">
        <w:rPr>
          <w:sz w:val="20"/>
          <w:szCs w:val="22"/>
        </w:rPr>
        <w:t>.</w:t>
      </w:r>
    </w:p>
    <w:p w:rsidR="0065142A" w:rsidRPr="001B6A7C" w:rsidRDefault="0065142A" w:rsidP="0065142A">
      <w:pPr>
        <w:spacing w:line="240" w:lineRule="auto"/>
        <w:rPr>
          <w:sz w:val="20"/>
          <w:szCs w:val="22"/>
        </w:rPr>
      </w:pPr>
      <w:r w:rsidRPr="001B6A7C">
        <w:rPr>
          <w:sz w:val="20"/>
          <w:szCs w:val="22"/>
        </w:rPr>
        <w:t>2. BRASIL. Ministério d</w:t>
      </w:r>
      <w:r w:rsidR="00ED4656" w:rsidRPr="001B6A7C">
        <w:rPr>
          <w:sz w:val="20"/>
          <w:szCs w:val="22"/>
        </w:rPr>
        <w:t>a</w:t>
      </w:r>
      <w:r w:rsidRPr="001B6A7C">
        <w:rPr>
          <w:sz w:val="20"/>
          <w:szCs w:val="22"/>
        </w:rPr>
        <w:t xml:space="preserve"> </w:t>
      </w:r>
      <w:r w:rsidR="00ED4656" w:rsidRPr="001B6A7C">
        <w:rPr>
          <w:sz w:val="20"/>
          <w:szCs w:val="22"/>
        </w:rPr>
        <w:t>Integração Nacional</w:t>
      </w:r>
      <w:r w:rsidRPr="001B6A7C">
        <w:rPr>
          <w:sz w:val="20"/>
          <w:szCs w:val="22"/>
        </w:rPr>
        <w:t xml:space="preserve">. </w:t>
      </w:r>
      <w:r w:rsidR="001B6A7C" w:rsidRPr="001B6A7C">
        <w:rPr>
          <w:sz w:val="20"/>
          <w:szCs w:val="22"/>
        </w:rPr>
        <w:t xml:space="preserve">Secretaria Nacional de Defesa Civil. </w:t>
      </w:r>
      <w:r w:rsidR="00ED4656" w:rsidRPr="001B6A7C">
        <w:rPr>
          <w:bCs/>
          <w:i/>
          <w:sz w:val="20"/>
          <w:szCs w:val="22"/>
        </w:rPr>
        <w:t>Política nacional de Defesa Civil</w:t>
      </w:r>
      <w:r w:rsidRPr="001B6A7C">
        <w:rPr>
          <w:sz w:val="20"/>
          <w:szCs w:val="22"/>
        </w:rPr>
        <w:t>.</w:t>
      </w:r>
      <w:r w:rsidR="001B6A7C" w:rsidRPr="001B6A7C">
        <w:rPr>
          <w:sz w:val="20"/>
          <w:szCs w:val="22"/>
        </w:rPr>
        <w:t xml:space="preserve"> Brasília, 2007, 82p.</w:t>
      </w:r>
    </w:p>
    <w:p w:rsidR="0065142A" w:rsidRPr="00162148" w:rsidRDefault="0065142A" w:rsidP="0065142A">
      <w:pPr>
        <w:spacing w:line="240" w:lineRule="auto"/>
        <w:rPr>
          <w:sz w:val="20"/>
          <w:szCs w:val="22"/>
        </w:rPr>
      </w:pPr>
      <w:r w:rsidRPr="00162148">
        <w:rPr>
          <w:sz w:val="20"/>
          <w:szCs w:val="22"/>
        </w:rPr>
        <w:t xml:space="preserve">3. </w:t>
      </w:r>
      <w:r w:rsidR="00D5480E" w:rsidRPr="00162148">
        <w:rPr>
          <w:sz w:val="20"/>
          <w:szCs w:val="22"/>
        </w:rPr>
        <w:t>BIANCALANA</w:t>
      </w:r>
      <w:r w:rsidRPr="00162148">
        <w:rPr>
          <w:sz w:val="20"/>
          <w:szCs w:val="22"/>
        </w:rPr>
        <w:t xml:space="preserve">, </w:t>
      </w:r>
      <w:r w:rsidR="00D5480E" w:rsidRPr="00162148">
        <w:rPr>
          <w:sz w:val="20"/>
          <w:szCs w:val="22"/>
        </w:rPr>
        <w:t>Roberto C</w:t>
      </w:r>
      <w:r w:rsidR="00ED4656">
        <w:rPr>
          <w:sz w:val="20"/>
          <w:szCs w:val="22"/>
        </w:rPr>
        <w:t>e</w:t>
      </w:r>
      <w:r w:rsidR="00D5480E" w:rsidRPr="00162148">
        <w:rPr>
          <w:sz w:val="20"/>
          <w:szCs w:val="22"/>
        </w:rPr>
        <w:t xml:space="preserve">sar, </w:t>
      </w:r>
      <w:r w:rsidR="00D5480E" w:rsidRPr="00ED4656">
        <w:rPr>
          <w:sz w:val="20"/>
          <w:szCs w:val="22"/>
        </w:rPr>
        <w:t>et al</w:t>
      </w:r>
      <w:r w:rsidRPr="00162148">
        <w:rPr>
          <w:sz w:val="20"/>
          <w:szCs w:val="22"/>
        </w:rPr>
        <w:t xml:space="preserve">. </w:t>
      </w:r>
      <w:r w:rsidR="00D5480E" w:rsidRPr="00162148">
        <w:rPr>
          <w:i/>
          <w:sz w:val="20"/>
          <w:szCs w:val="22"/>
        </w:rPr>
        <w:t>Desastres em massa: A utilização do protocolo de DVI da Interpol pela odontologia legal</w:t>
      </w:r>
      <w:r w:rsidRPr="00162148">
        <w:rPr>
          <w:sz w:val="20"/>
          <w:szCs w:val="22"/>
        </w:rPr>
        <w:t xml:space="preserve">. </w:t>
      </w:r>
      <w:r w:rsidR="00D5480E" w:rsidRPr="00162148">
        <w:rPr>
          <w:sz w:val="20"/>
          <w:szCs w:val="22"/>
        </w:rPr>
        <w:t xml:space="preserve">Revista Brasileira de Odontologia Legal – RBOL, </w:t>
      </w:r>
      <w:r w:rsidR="00162148" w:rsidRPr="00162148">
        <w:rPr>
          <w:sz w:val="20"/>
          <w:szCs w:val="22"/>
        </w:rPr>
        <w:t>v. 2,</w:t>
      </w:r>
      <w:r w:rsidR="00162148">
        <w:rPr>
          <w:sz w:val="20"/>
          <w:szCs w:val="22"/>
        </w:rPr>
        <w:t xml:space="preserve"> n. 2,</w:t>
      </w:r>
      <w:r w:rsidR="00162148" w:rsidRPr="00162148">
        <w:rPr>
          <w:sz w:val="20"/>
          <w:szCs w:val="22"/>
        </w:rPr>
        <w:t xml:space="preserve"> p. 48-62, 201</w:t>
      </w:r>
      <w:r w:rsidR="00162148">
        <w:rPr>
          <w:sz w:val="20"/>
          <w:szCs w:val="22"/>
        </w:rPr>
        <w:t>5</w:t>
      </w:r>
      <w:r w:rsidR="00162148" w:rsidRPr="00162148">
        <w:rPr>
          <w:sz w:val="20"/>
          <w:szCs w:val="22"/>
        </w:rPr>
        <w:t>.</w:t>
      </w:r>
    </w:p>
    <w:sectPr w:rsidR="0065142A" w:rsidRPr="00162148" w:rsidSect="003037F9">
      <w:headerReference w:type="default" r:id="rId13"/>
      <w:footerReference w:type="default" r:id="rId14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33" w:rsidRDefault="00DB7E33" w:rsidP="003752F7">
      <w:pPr>
        <w:spacing w:line="240" w:lineRule="auto"/>
      </w:pPr>
      <w:r>
        <w:separator/>
      </w:r>
    </w:p>
  </w:endnote>
  <w:endnote w:type="continuationSeparator" w:id="0">
    <w:p w:rsidR="00DB7E33" w:rsidRDefault="00DB7E33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1B0849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053737" w:rsidRDefault="000537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33" w:rsidRDefault="00DB7E33" w:rsidP="003752F7">
      <w:pPr>
        <w:spacing w:line="240" w:lineRule="auto"/>
      </w:pPr>
      <w:r>
        <w:separator/>
      </w:r>
    </w:p>
  </w:footnote>
  <w:footnote w:type="continuationSeparator" w:id="0">
    <w:p w:rsidR="00DB7E33" w:rsidRDefault="00DB7E33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2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 w:rsidR="006044B2">
      <w:rPr>
        <w:bCs/>
        <w:sz w:val="22"/>
        <w:szCs w:val="22"/>
      </w:rPr>
      <w:t>rnacional de Perícia Criminal e</w:t>
    </w:r>
  </w:p>
  <w:p w:rsidR="00053737" w:rsidRPr="0056168D" w:rsidRDefault="002F7B50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53737" w:rsidRDefault="002F7B50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40AB"/>
    <w:multiLevelType w:val="hybridMultilevel"/>
    <w:tmpl w:val="116A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6BC8"/>
    <w:rsid w:val="00042E0A"/>
    <w:rsid w:val="00043C0D"/>
    <w:rsid w:val="00051A3B"/>
    <w:rsid w:val="00053737"/>
    <w:rsid w:val="00053FCD"/>
    <w:rsid w:val="00080175"/>
    <w:rsid w:val="00090BA6"/>
    <w:rsid w:val="000B38F5"/>
    <w:rsid w:val="000C3688"/>
    <w:rsid w:val="000C67DF"/>
    <w:rsid w:val="000C6C07"/>
    <w:rsid w:val="000D64F7"/>
    <w:rsid w:val="000E08B0"/>
    <w:rsid w:val="000E490F"/>
    <w:rsid w:val="000E62DA"/>
    <w:rsid w:val="001052AA"/>
    <w:rsid w:val="00115C7E"/>
    <w:rsid w:val="00121C83"/>
    <w:rsid w:val="0012394C"/>
    <w:rsid w:val="00123D94"/>
    <w:rsid w:val="00124234"/>
    <w:rsid w:val="001451DD"/>
    <w:rsid w:val="0015364A"/>
    <w:rsid w:val="00162148"/>
    <w:rsid w:val="001628BE"/>
    <w:rsid w:val="00167EE0"/>
    <w:rsid w:val="0018033F"/>
    <w:rsid w:val="001847FE"/>
    <w:rsid w:val="00187D28"/>
    <w:rsid w:val="00196018"/>
    <w:rsid w:val="001978D2"/>
    <w:rsid w:val="001A2428"/>
    <w:rsid w:val="001A35F9"/>
    <w:rsid w:val="001A3F23"/>
    <w:rsid w:val="001A5588"/>
    <w:rsid w:val="001A715A"/>
    <w:rsid w:val="001A7522"/>
    <w:rsid w:val="001B0849"/>
    <w:rsid w:val="001B3C69"/>
    <w:rsid w:val="001B6A7C"/>
    <w:rsid w:val="001D2633"/>
    <w:rsid w:val="001D7643"/>
    <w:rsid w:val="001E1232"/>
    <w:rsid w:val="001E221F"/>
    <w:rsid w:val="001F5735"/>
    <w:rsid w:val="00244839"/>
    <w:rsid w:val="00247455"/>
    <w:rsid w:val="00251C8D"/>
    <w:rsid w:val="00256A86"/>
    <w:rsid w:val="00262CE0"/>
    <w:rsid w:val="00272C6D"/>
    <w:rsid w:val="00273933"/>
    <w:rsid w:val="00281DFF"/>
    <w:rsid w:val="00293268"/>
    <w:rsid w:val="00293989"/>
    <w:rsid w:val="002A1F55"/>
    <w:rsid w:val="002C1772"/>
    <w:rsid w:val="002C1DE6"/>
    <w:rsid w:val="002F7B50"/>
    <w:rsid w:val="003037F9"/>
    <w:rsid w:val="003212D0"/>
    <w:rsid w:val="0032165A"/>
    <w:rsid w:val="00334F29"/>
    <w:rsid w:val="0034706C"/>
    <w:rsid w:val="00353468"/>
    <w:rsid w:val="00357D88"/>
    <w:rsid w:val="00365585"/>
    <w:rsid w:val="00372A5D"/>
    <w:rsid w:val="003752F7"/>
    <w:rsid w:val="0037720B"/>
    <w:rsid w:val="00382120"/>
    <w:rsid w:val="0039084A"/>
    <w:rsid w:val="003928AB"/>
    <w:rsid w:val="003D455E"/>
    <w:rsid w:val="003E761E"/>
    <w:rsid w:val="003F0931"/>
    <w:rsid w:val="003F5B0B"/>
    <w:rsid w:val="003F6A7C"/>
    <w:rsid w:val="00423161"/>
    <w:rsid w:val="00425FB9"/>
    <w:rsid w:val="004264DD"/>
    <w:rsid w:val="00442AB9"/>
    <w:rsid w:val="00460049"/>
    <w:rsid w:val="004600AE"/>
    <w:rsid w:val="00460CF2"/>
    <w:rsid w:val="00473BD3"/>
    <w:rsid w:val="00474F95"/>
    <w:rsid w:val="00486A9E"/>
    <w:rsid w:val="00491EA9"/>
    <w:rsid w:val="004A1F23"/>
    <w:rsid w:val="004B1A67"/>
    <w:rsid w:val="004D63F0"/>
    <w:rsid w:val="004D6CE8"/>
    <w:rsid w:val="004D7262"/>
    <w:rsid w:val="004E1122"/>
    <w:rsid w:val="004F21E1"/>
    <w:rsid w:val="0051281F"/>
    <w:rsid w:val="00514489"/>
    <w:rsid w:val="00516CB0"/>
    <w:rsid w:val="00520051"/>
    <w:rsid w:val="005342A4"/>
    <w:rsid w:val="00535C25"/>
    <w:rsid w:val="00541B84"/>
    <w:rsid w:val="00541C6C"/>
    <w:rsid w:val="00543A8C"/>
    <w:rsid w:val="0055601A"/>
    <w:rsid w:val="00556A41"/>
    <w:rsid w:val="0056168D"/>
    <w:rsid w:val="00567BA9"/>
    <w:rsid w:val="0057149C"/>
    <w:rsid w:val="00571EAF"/>
    <w:rsid w:val="0057510C"/>
    <w:rsid w:val="0059109E"/>
    <w:rsid w:val="00595933"/>
    <w:rsid w:val="00596AD6"/>
    <w:rsid w:val="005A5F31"/>
    <w:rsid w:val="005A71F4"/>
    <w:rsid w:val="005B0BB2"/>
    <w:rsid w:val="005B6216"/>
    <w:rsid w:val="005D3B1F"/>
    <w:rsid w:val="005E0339"/>
    <w:rsid w:val="005E75EF"/>
    <w:rsid w:val="006028E9"/>
    <w:rsid w:val="006044B2"/>
    <w:rsid w:val="00606784"/>
    <w:rsid w:val="0062462D"/>
    <w:rsid w:val="006347BF"/>
    <w:rsid w:val="006378FF"/>
    <w:rsid w:val="00647C59"/>
    <w:rsid w:val="0065142A"/>
    <w:rsid w:val="00672251"/>
    <w:rsid w:val="006762AA"/>
    <w:rsid w:val="00677924"/>
    <w:rsid w:val="00690E86"/>
    <w:rsid w:val="006947F5"/>
    <w:rsid w:val="00694AAE"/>
    <w:rsid w:val="00696F59"/>
    <w:rsid w:val="006A774A"/>
    <w:rsid w:val="006B0091"/>
    <w:rsid w:val="006B00A7"/>
    <w:rsid w:val="006B0CC4"/>
    <w:rsid w:val="006B17A2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48BD"/>
    <w:rsid w:val="00733C52"/>
    <w:rsid w:val="00734E3C"/>
    <w:rsid w:val="00746985"/>
    <w:rsid w:val="00753B0A"/>
    <w:rsid w:val="00755A52"/>
    <w:rsid w:val="00763B2B"/>
    <w:rsid w:val="0078302E"/>
    <w:rsid w:val="00784AD1"/>
    <w:rsid w:val="0079623C"/>
    <w:rsid w:val="007A109C"/>
    <w:rsid w:val="007A5B5E"/>
    <w:rsid w:val="007B7053"/>
    <w:rsid w:val="007C522E"/>
    <w:rsid w:val="007D0DBB"/>
    <w:rsid w:val="007E2E1A"/>
    <w:rsid w:val="0080108D"/>
    <w:rsid w:val="008039FA"/>
    <w:rsid w:val="00804B34"/>
    <w:rsid w:val="00811620"/>
    <w:rsid w:val="00812641"/>
    <w:rsid w:val="00813F18"/>
    <w:rsid w:val="00817160"/>
    <w:rsid w:val="00821CAD"/>
    <w:rsid w:val="00824730"/>
    <w:rsid w:val="00832F16"/>
    <w:rsid w:val="008572CF"/>
    <w:rsid w:val="00857E91"/>
    <w:rsid w:val="00860EDC"/>
    <w:rsid w:val="008949B2"/>
    <w:rsid w:val="008B5B05"/>
    <w:rsid w:val="008C400F"/>
    <w:rsid w:val="008D7AB4"/>
    <w:rsid w:val="008E2991"/>
    <w:rsid w:val="009050D1"/>
    <w:rsid w:val="00910D22"/>
    <w:rsid w:val="009217B6"/>
    <w:rsid w:val="00941837"/>
    <w:rsid w:val="00950EFD"/>
    <w:rsid w:val="009530A3"/>
    <w:rsid w:val="00973188"/>
    <w:rsid w:val="00987E5E"/>
    <w:rsid w:val="00991738"/>
    <w:rsid w:val="009A202B"/>
    <w:rsid w:val="009A5F55"/>
    <w:rsid w:val="009B49EB"/>
    <w:rsid w:val="009C3761"/>
    <w:rsid w:val="009C4AC1"/>
    <w:rsid w:val="009E0435"/>
    <w:rsid w:val="009E4343"/>
    <w:rsid w:val="009E4AE7"/>
    <w:rsid w:val="009F0085"/>
    <w:rsid w:val="009F3B49"/>
    <w:rsid w:val="009F4702"/>
    <w:rsid w:val="009F60BF"/>
    <w:rsid w:val="00A049AE"/>
    <w:rsid w:val="00A11FB1"/>
    <w:rsid w:val="00A30721"/>
    <w:rsid w:val="00A37102"/>
    <w:rsid w:val="00A51761"/>
    <w:rsid w:val="00A5398B"/>
    <w:rsid w:val="00A6702D"/>
    <w:rsid w:val="00A81023"/>
    <w:rsid w:val="00A878F6"/>
    <w:rsid w:val="00A9079D"/>
    <w:rsid w:val="00A9585D"/>
    <w:rsid w:val="00AB3037"/>
    <w:rsid w:val="00AC1E22"/>
    <w:rsid w:val="00AD19C2"/>
    <w:rsid w:val="00AE4966"/>
    <w:rsid w:val="00AE583C"/>
    <w:rsid w:val="00AF0BDD"/>
    <w:rsid w:val="00B00282"/>
    <w:rsid w:val="00B008DD"/>
    <w:rsid w:val="00B21E36"/>
    <w:rsid w:val="00B2671D"/>
    <w:rsid w:val="00B30B26"/>
    <w:rsid w:val="00B32F1D"/>
    <w:rsid w:val="00B33D8A"/>
    <w:rsid w:val="00B462A0"/>
    <w:rsid w:val="00B50074"/>
    <w:rsid w:val="00B702A7"/>
    <w:rsid w:val="00B81B4D"/>
    <w:rsid w:val="00BA23C0"/>
    <w:rsid w:val="00BA44CE"/>
    <w:rsid w:val="00BD2918"/>
    <w:rsid w:val="00BF6353"/>
    <w:rsid w:val="00C108B2"/>
    <w:rsid w:val="00C11825"/>
    <w:rsid w:val="00C1748C"/>
    <w:rsid w:val="00C26C44"/>
    <w:rsid w:val="00C42F9B"/>
    <w:rsid w:val="00C630D3"/>
    <w:rsid w:val="00C723B6"/>
    <w:rsid w:val="00C7709B"/>
    <w:rsid w:val="00C819F4"/>
    <w:rsid w:val="00C86D3A"/>
    <w:rsid w:val="00C92FC6"/>
    <w:rsid w:val="00C92FFA"/>
    <w:rsid w:val="00CA7450"/>
    <w:rsid w:val="00CC0AEB"/>
    <w:rsid w:val="00CC6B7D"/>
    <w:rsid w:val="00CC7593"/>
    <w:rsid w:val="00CE4C43"/>
    <w:rsid w:val="00CE525E"/>
    <w:rsid w:val="00CE5615"/>
    <w:rsid w:val="00CE6D58"/>
    <w:rsid w:val="00CF0B20"/>
    <w:rsid w:val="00CF3290"/>
    <w:rsid w:val="00CF5D2A"/>
    <w:rsid w:val="00D026FA"/>
    <w:rsid w:val="00D03AB2"/>
    <w:rsid w:val="00D07C04"/>
    <w:rsid w:val="00D31E9E"/>
    <w:rsid w:val="00D348C0"/>
    <w:rsid w:val="00D42D97"/>
    <w:rsid w:val="00D5480E"/>
    <w:rsid w:val="00D55EBC"/>
    <w:rsid w:val="00D6094C"/>
    <w:rsid w:val="00D66DB9"/>
    <w:rsid w:val="00D7559F"/>
    <w:rsid w:val="00D83186"/>
    <w:rsid w:val="00D85888"/>
    <w:rsid w:val="00DB64DF"/>
    <w:rsid w:val="00DB7E33"/>
    <w:rsid w:val="00DC0E24"/>
    <w:rsid w:val="00DD690F"/>
    <w:rsid w:val="00DE2ADD"/>
    <w:rsid w:val="00DF7C5F"/>
    <w:rsid w:val="00E30AA9"/>
    <w:rsid w:val="00E41209"/>
    <w:rsid w:val="00E573A1"/>
    <w:rsid w:val="00E65FFC"/>
    <w:rsid w:val="00E97951"/>
    <w:rsid w:val="00E979DF"/>
    <w:rsid w:val="00EA3AA3"/>
    <w:rsid w:val="00EA3CD7"/>
    <w:rsid w:val="00EA47BE"/>
    <w:rsid w:val="00EA4AD4"/>
    <w:rsid w:val="00EB7099"/>
    <w:rsid w:val="00EC6C1D"/>
    <w:rsid w:val="00ED4656"/>
    <w:rsid w:val="00EE266E"/>
    <w:rsid w:val="00EE70EE"/>
    <w:rsid w:val="00F10ED3"/>
    <w:rsid w:val="00F11B6C"/>
    <w:rsid w:val="00F15E18"/>
    <w:rsid w:val="00F22F39"/>
    <w:rsid w:val="00F300D5"/>
    <w:rsid w:val="00F363E3"/>
    <w:rsid w:val="00F36B4A"/>
    <w:rsid w:val="00F42EBD"/>
    <w:rsid w:val="00F50A50"/>
    <w:rsid w:val="00F525A4"/>
    <w:rsid w:val="00F6162F"/>
    <w:rsid w:val="00F80A2A"/>
    <w:rsid w:val="00F90DCE"/>
    <w:rsid w:val="00FA5DAD"/>
    <w:rsid w:val="00FB2901"/>
    <w:rsid w:val="00FB34C0"/>
    <w:rsid w:val="00FB6D6C"/>
    <w:rsid w:val="00FC1D4B"/>
    <w:rsid w:val="00FC2E7B"/>
    <w:rsid w:val="00FC3308"/>
    <w:rsid w:val="00FC71F5"/>
    <w:rsid w:val="00FC7D58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C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C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D6E7E-DE11-4EF1-B874-16CC0D4A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1242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2017-07-19T20:23:00Z</dcterms:created>
  <dcterms:modified xsi:type="dcterms:W3CDTF">2017-07-19T20:23:00Z</dcterms:modified>
</cp:coreProperties>
</file>