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AA" w:rsidRPr="00813F18" w:rsidRDefault="002872AA" w:rsidP="002872AA">
      <w:pPr>
        <w:spacing w:line="240" w:lineRule="auto"/>
        <w:jc w:val="center"/>
        <w:rPr>
          <w:b/>
        </w:rPr>
      </w:pPr>
      <w:r>
        <w:rPr>
          <w:b/>
        </w:rPr>
        <w:t>Análise da mediana como estimador de preço de mercado em obras de grande porte</w:t>
      </w:r>
      <w:r w:rsidR="008C2221">
        <w:rPr>
          <w:b/>
        </w:rPr>
        <w:t xml:space="preserve"> -</w:t>
      </w:r>
      <w:r>
        <w:rPr>
          <w:b/>
        </w:rPr>
        <w:t xml:space="preserve"> </w:t>
      </w:r>
      <w:r w:rsidR="008C2221">
        <w:rPr>
          <w:b/>
        </w:rPr>
        <w:t>c</w:t>
      </w:r>
      <w:r>
        <w:rPr>
          <w:b/>
        </w:rPr>
        <w:t>onfronto dos preços divulgados pelo SINAPI frente aos preços efetivos identificados durante a Operação Lava Jato.</w:t>
      </w:r>
    </w:p>
    <w:p w:rsidR="002872AA" w:rsidRDefault="002872AA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1CD3" w:rsidRPr="00111B01" w:rsidRDefault="00B81CD3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 xml:space="preserve">O arcabouço legal brasileiro determina em suas diversas normas que a Administração Pública não poderá contratar serviços de engenharia por valores superiores aos praticados no mercado. Como forma de regulamentar essas normas, durante anos foram </w:t>
      </w:r>
      <w:r w:rsidR="002872AA">
        <w:rPr>
          <w:rFonts w:ascii="Times New Roman" w:hAnsi="Times New Roman" w:cs="Times New Roman"/>
        </w:rPr>
        <w:t>definidos</w:t>
      </w:r>
      <w:r w:rsidRPr="00111B01">
        <w:rPr>
          <w:rFonts w:ascii="Times New Roman" w:hAnsi="Times New Roman" w:cs="Times New Roman"/>
        </w:rPr>
        <w:t xml:space="preserve"> nas Leis de Diretrizes Orçamentárias (LDOs) os parâmetros de referência dos preços de mercado. Em 2013, com a edição do Decreto 7.983/2013</w:t>
      </w:r>
      <w:r w:rsidR="009C3772">
        <w:rPr>
          <w:rFonts w:ascii="Times New Roman" w:hAnsi="Times New Roman" w:cs="Times New Roman"/>
          <w:vertAlign w:val="superscript"/>
        </w:rPr>
        <w:t>1</w:t>
      </w:r>
      <w:r w:rsidRPr="00111B01">
        <w:rPr>
          <w:rFonts w:ascii="Times New Roman" w:hAnsi="Times New Roman" w:cs="Times New Roman"/>
        </w:rPr>
        <w:t>, a legislação nacional consolidou as definições que vinham sendo editadas</w:t>
      </w:r>
      <w:r w:rsidR="002872AA">
        <w:rPr>
          <w:rFonts w:ascii="Times New Roman" w:hAnsi="Times New Roman" w:cs="Times New Roman"/>
        </w:rPr>
        <w:t xml:space="preserve"> nas sucessivas</w:t>
      </w:r>
      <w:r w:rsidRPr="00111B01">
        <w:rPr>
          <w:rFonts w:ascii="Times New Roman" w:hAnsi="Times New Roman" w:cs="Times New Roman"/>
        </w:rPr>
        <w:t xml:space="preserve"> LDOs.</w:t>
      </w:r>
    </w:p>
    <w:p w:rsidR="007049D2" w:rsidRPr="00111B01" w:rsidRDefault="00B81CD3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 xml:space="preserve">Segundo o Decreto 7.983/2013, o preço </w:t>
      </w:r>
      <w:r w:rsidR="002872AA">
        <w:rPr>
          <w:rFonts w:ascii="Times New Roman" w:hAnsi="Times New Roman" w:cs="Times New Roman"/>
        </w:rPr>
        <w:t>de referência</w:t>
      </w:r>
      <w:r w:rsidRPr="00111B01">
        <w:rPr>
          <w:rFonts w:ascii="Times New Roman" w:hAnsi="Times New Roman" w:cs="Times New Roman"/>
        </w:rPr>
        <w:t xml:space="preserve"> </w:t>
      </w:r>
      <w:r w:rsidR="002872AA">
        <w:rPr>
          <w:rFonts w:ascii="Times New Roman" w:hAnsi="Times New Roman" w:cs="Times New Roman"/>
        </w:rPr>
        <w:t>será obtido</w:t>
      </w:r>
      <w:r w:rsidRPr="00111B01">
        <w:rPr>
          <w:rFonts w:ascii="Times New Roman" w:hAnsi="Times New Roman" w:cs="Times New Roman"/>
        </w:rPr>
        <w:t xml:space="preserve"> </w:t>
      </w:r>
      <w:r w:rsidR="002872AA">
        <w:rPr>
          <w:rFonts w:ascii="Times New Roman" w:hAnsi="Times New Roman" w:cs="Times New Roman"/>
        </w:rPr>
        <w:t>a partir da</w:t>
      </w:r>
      <w:r w:rsidR="007049D2" w:rsidRPr="00111B01">
        <w:rPr>
          <w:rFonts w:ascii="Times New Roman" w:hAnsi="Times New Roman" w:cs="Times New Roman"/>
        </w:rPr>
        <w:t xml:space="preserve"> mediana divulgada</w:t>
      </w:r>
      <w:r w:rsidRPr="00111B01">
        <w:rPr>
          <w:rFonts w:ascii="Times New Roman" w:hAnsi="Times New Roman" w:cs="Times New Roman"/>
        </w:rPr>
        <w:t xml:space="preserve"> </w:t>
      </w:r>
      <w:r w:rsidR="007049D2" w:rsidRPr="00111B01">
        <w:rPr>
          <w:rFonts w:ascii="Times New Roman" w:hAnsi="Times New Roman" w:cs="Times New Roman"/>
        </w:rPr>
        <w:t>no</w:t>
      </w:r>
      <w:r w:rsidRPr="00111B01">
        <w:rPr>
          <w:rFonts w:ascii="Times New Roman" w:hAnsi="Times New Roman" w:cs="Times New Roman"/>
        </w:rPr>
        <w:t xml:space="preserve"> Sistema Nacional </w:t>
      </w:r>
      <w:r w:rsidR="007049D2" w:rsidRPr="00111B01">
        <w:rPr>
          <w:rFonts w:ascii="Times New Roman" w:hAnsi="Times New Roman" w:cs="Times New Roman"/>
        </w:rPr>
        <w:t>de Pesquisas de Custos e Índices da Construção Civil (</w:t>
      </w:r>
      <w:r w:rsidRPr="00111B01">
        <w:rPr>
          <w:rFonts w:ascii="Times New Roman" w:hAnsi="Times New Roman" w:cs="Times New Roman"/>
        </w:rPr>
        <w:t>SINAPI</w:t>
      </w:r>
      <w:r w:rsidR="007049D2" w:rsidRPr="00111B01">
        <w:rPr>
          <w:rFonts w:ascii="Times New Roman" w:hAnsi="Times New Roman" w:cs="Times New Roman"/>
        </w:rPr>
        <w:t xml:space="preserve">), elaborado </w:t>
      </w:r>
      <w:r w:rsidR="002872AA">
        <w:rPr>
          <w:rFonts w:ascii="Times New Roman" w:hAnsi="Times New Roman" w:cs="Times New Roman"/>
        </w:rPr>
        <w:t>pela</w:t>
      </w:r>
      <w:r w:rsidR="007049D2" w:rsidRPr="00111B01">
        <w:rPr>
          <w:rFonts w:ascii="Times New Roman" w:hAnsi="Times New Roman" w:cs="Times New Roman"/>
        </w:rPr>
        <w:t xml:space="preserve"> Caixa Econômica Federal (CEF) </w:t>
      </w:r>
      <w:r w:rsidR="002872AA">
        <w:rPr>
          <w:rFonts w:ascii="Times New Roman" w:hAnsi="Times New Roman" w:cs="Times New Roman"/>
        </w:rPr>
        <w:t xml:space="preserve">em parceria </w:t>
      </w:r>
      <w:r w:rsidR="007049D2" w:rsidRPr="00111B01">
        <w:rPr>
          <w:rFonts w:ascii="Times New Roman" w:hAnsi="Times New Roman" w:cs="Times New Roman"/>
        </w:rPr>
        <w:t xml:space="preserve">com o Instituto Brasileiro de Geografia e Estatística (IBGE) ou, para os casos de obras de infraestrutura de transportes, </w:t>
      </w:r>
      <w:r w:rsidR="00021D1D">
        <w:rPr>
          <w:rFonts w:ascii="Times New Roman" w:hAnsi="Times New Roman" w:cs="Times New Roman"/>
        </w:rPr>
        <w:t>a partir d</w:t>
      </w:r>
      <w:r w:rsidR="007049D2" w:rsidRPr="00111B01">
        <w:rPr>
          <w:rFonts w:ascii="Times New Roman" w:hAnsi="Times New Roman" w:cs="Times New Roman"/>
        </w:rPr>
        <w:t>o valor divulgado pelo</w:t>
      </w:r>
      <w:r w:rsidRPr="00111B01">
        <w:rPr>
          <w:rFonts w:ascii="Times New Roman" w:hAnsi="Times New Roman" w:cs="Times New Roman"/>
        </w:rPr>
        <w:t xml:space="preserve"> </w:t>
      </w:r>
      <w:r w:rsidR="007049D2" w:rsidRPr="00111B01">
        <w:rPr>
          <w:rFonts w:ascii="Times New Roman" w:hAnsi="Times New Roman" w:cs="Times New Roman"/>
        </w:rPr>
        <w:t>Sistema de Custos Rodoviários (</w:t>
      </w:r>
      <w:r w:rsidRPr="00111B01">
        <w:rPr>
          <w:rFonts w:ascii="Times New Roman" w:hAnsi="Times New Roman" w:cs="Times New Roman"/>
        </w:rPr>
        <w:t>SICRO</w:t>
      </w:r>
      <w:r w:rsidR="007049D2" w:rsidRPr="00111B01">
        <w:rPr>
          <w:rFonts w:ascii="Times New Roman" w:hAnsi="Times New Roman" w:cs="Times New Roman"/>
        </w:rPr>
        <w:t xml:space="preserve">) do Departamento Nacional de Infraestrutura (DNIT). </w:t>
      </w:r>
    </w:p>
    <w:p w:rsidR="00B81CD3" w:rsidRPr="00111B01" w:rsidRDefault="007049D2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>A adoção de referência de preços divulgados por órgãos oficiais da Administração t</w:t>
      </w:r>
      <w:r w:rsidR="00B81CD3" w:rsidRPr="00111B01">
        <w:rPr>
          <w:rFonts w:ascii="Times New Roman" w:hAnsi="Times New Roman" w:cs="Times New Roman"/>
        </w:rPr>
        <w:t>rata-se de prática e razoável ferramenta para estimar o preço de mercado</w:t>
      </w:r>
      <w:r w:rsidRPr="00111B01">
        <w:rPr>
          <w:rFonts w:ascii="Times New Roman" w:hAnsi="Times New Roman" w:cs="Times New Roman"/>
        </w:rPr>
        <w:t xml:space="preserve"> dentro das premissas constitucionais de publicidade e economicidade</w:t>
      </w:r>
      <w:r w:rsidR="00B81CD3" w:rsidRPr="00111B01">
        <w:rPr>
          <w:rFonts w:ascii="Times New Roman" w:hAnsi="Times New Roman" w:cs="Times New Roman"/>
        </w:rPr>
        <w:t xml:space="preserve">. Todavia, a experiência demonstra que os preços referências da CEF/IBGE apresentam valores superiores ao praticado pelo mercado, especialmente nas obras de grande porte. </w:t>
      </w:r>
    </w:p>
    <w:p w:rsidR="00383B03" w:rsidRPr="00111B01" w:rsidRDefault="00B81CD3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 xml:space="preserve">Mas o que motiva essa diferença? </w:t>
      </w:r>
      <w:r w:rsidR="007049D2" w:rsidRPr="00111B01">
        <w:rPr>
          <w:rFonts w:ascii="Times New Roman" w:hAnsi="Times New Roman" w:cs="Times New Roman"/>
        </w:rPr>
        <w:t>Pode-se entender em primeiro plano que a diferença seja consequência da própria adoção da mediana</w:t>
      </w:r>
      <w:r w:rsidRPr="00111B01">
        <w:rPr>
          <w:rFonts w:ascii="Times New Roman" w:hAnsi="Times New Roman" w:cs="Times New Roman"/>
        </w:rPr>
        <w:t>.</w:t>
      </w:r>
      <w:r w:rsidR="007049D2" w:rsidRPr="00111B01">
        <w:rPr>
          <w:rFonts w:ascii="Times New Roman" w:hAnsi="Times New Roman" w:cs="Times New Roman"/>
        </w:rPr>
        <w:t xml:space="preserve"> </w:t>
      </w:r>
      <w:r w:rsidR="00383B03" w:rsidRPr="00111B01">
        <w:rPr>
          <w:rFonts w:ascii="Times New Roman" w:hAnsi="Times New Roman" w:cs="Times New Roman"/>
        </w:rPr>
        <w:t xml:space="preserve">A mediana dos preços corresponde ao valor intermediário, onde metade dos preços informados é inferior </w:t>
      </w:r>
      <w:r w:rsidR="009018AC">
        <w:rPr>
          <w:rFonts w:ascii="Times New Roman" w:hAnsi="Times New Roman" w:cs="Times New Roman"/>
        </w:rPr>
        <w:t>a essa estimativa</w:t>
      </w:r>
      <w:r w:rsidR="00383B03" w:rsidRPr="00111B01">
        <w:rPr>
          <w:rFonts w:ascii="Times New Roman" w:hAnsi="Times New Roman" w:cs="Times New Roman"/>
        </w:rPr>
        <w:t xml:space="preserve"> e a metade restante possui valores acima </w:t>
      </w:r>
      <w:r w:rsidR="005D5165">
        <w:rPr>
          <w:rFonts w:ascii="Times New Roman" w:hAnsi="Times New Roman" w:cs="Times New Roman"/>
        </w:rPr>
        <w:t>dela</w:t>
      </w:r>
      <w:r w:rsidR="00383B03" w:rsidRPr="00111B01">
        <w:rPr>
          <w:rFonts w:ascii="Times New Roman" w:hAnsi="Times New Roman" w:cs="Times New Roman"/>
        </w:rPr>
        <w:t>.</w:t>
      </w:r>
      <w:r w:rsidR="005D5165">
        <w:rPr>
          <w:rFonts w:ascii="Times New Roman" w:hAnsi="Times New Roman" w:cs="Times New Roman"/>
        </w:rPr>
        <w:t xml:space="preserve"> Todavia, d</w:t>
      </w:r>
      <w:r w:rsidR="00383B03" w:rsidRPr="00111B01">
        <w:rPr>
          <w:rFonts w:ascii="Times New Roman" w:hAnsi="Times New Roman" w:cs="Times New Roman"/>
        </w:rPr>
        <w:t xml:space="preserve">o ponto de vista estatístico, há que se tomar cuidado com </w:t>
      </w:r>
      <w:r w:rsidR="009018AC">
        <w:rPr>
          <w:rFonts w:ascii="Times New Roman" w:hAnsi="Times New Roman" w:cs="Times New Roman"/>
        </w:rPr>
        <w:t xml:space="preserve">amostras onde a estimativa dada pela mediana é dissonante do comportamento de mercado da construção civil, notadamente em </w:t>
      </w:r>
      <w:r w:rsidR="00383B03" w:rsidRPr="00111B01">
        <w:rPr>
          <w:rFonts w:ascii="Times New Roman" w:hAnsi="Times New Roman" w:cs="Times New Roman"/>
        </w:rPr>
        <w:t>dois tipos especiais de amostra: amostras</w:t>
      </w:r>
      <w:r w:rsidR="00473381">
        <w:rPr>
          <w:rFonts w:ascii="Times New Roman" w:hAnsi="Times New Roman" w:cs="Times New Roman"/>
        </w:rPr>
        <w:t xml:space="preserve"> de dados</w:t>
      </w:r>
      <w:r w:rsidR="00383B03" w:rsidRPr="00111B01">
        <w:rPr>
          <w:rFonts w:ascii="Times New Roman" w:hAnsi="Times New Roman" w:cs="Times New Roman"/>
        </w:rPr>
        <w:t xml:space="preserve"> bimodais e amostras </w:t>
      </w:r>
      <w:r w:rsidR="00473381">
        <w:rPr>
          <w:rFonts w:ascii="Times New Roman" w:hAnsi="Times New Roman" w:cs="Times New Roman"/>
        </w:rPr>
        <w:t>de dados assimétrico</w:t>
      </w:r>
      <w:r w:rsidR="00383B03" w:rsidRPr="00111B01">
        <w:rPr>
          <w:rFonts w:ascii="Times New Roman" w:hAnsi="Times New Roman" w:cs="Times New Roman"/>
        </w:rPr>
        <w:t>s.</w:t>
      </w:r>
    </w:p>
    <w:p w:rsidR="00383B03" w:rsidRDefault="00383B03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 xml:space="preserve">As amostras </w:t>
      </w:r>
      <w:r w:rsidR="00473381">
        <w:rPr>
          <w:rFonts w:ascii="Times New Roman" w:hAnsi="Times New Roman" w:cs="Times New Roman"/>
        </w:rPr>
        <w:t xml:space="preserve">de dados </w:t>
      </w:r>
      <w:r w:rsidRPr="00111B01">
        <w:rPr>
          <w:rFonts w:ascii="Times New Roman" w:hAnsi="Times New Roman" w:cs="Times New Roman"/>
        </w:rPr>
        <w:t xml:space="preserve">bimodais são caracterizadas pela existência de dois polos de valores. Nos casos em que a mediana situa-se mais próxima à moda inferior, tem-se uma adequada referência de mercado, uma vez que o objetivo de qualquer compra é alcançar os melhores valores possíveis. </w:t>
      </w:r>
      <w:r w:rsidR="004757AE">
        <w:rPr>
          <w:rFonts w:ascii="Times New Roman" w:hAnsi="Times New Roman" w:cs="Times New Roman"/>
        </w:rPr>
        <w:t>O segundo tipo são a</w:t>
      </w:r>
      <w:r w:rsidR="005D5165">
        <w:rPr>
          <w:rFonts w:ascii="Times New Roman" w:hAnsi="Times New Roman" w:cs="Times New Roman"/>
        </w:rPr>
        <w:t xml:space="preserve">s amostras </w:t>
      </w:r>
      <w:r w:rsidR="00473381">
        <w:rPr>
          <w:rFonts w:ascii="Times New Roman" w:hAnsi="Times New Roman" w:cs="Times New Roman"/>
        </w:rPr>
        <w:t>de dados assimétrico</w:t>
      </w:r>
      <w:r w:rsidR="005D5165">
        <w:rPr>
          <w:rFonts w:ascii="Times New Roman" w:hAnsi="Times New Roman" w:cs="Times New Roman"/>
        </w:rPr>
        <w:t>s</w:t>
      </w:r>
      <w:r w:rsidR="004757AE">
        <w:rPr>
          <w:rFonts w:ascii="Times New Roman" w:hAnsi="Times New Roman" w:cs="Times New Roman"/>
        </w:rPr>
        <w:t xml:space="preserve"> que</w:t>
      </w:r>
      <w:r w:rsidR="005D5165">
        <w:rPr>
          <w:rFonts w:ascii="Times New Roman" w:hAnsi="Times New Roman" w:cs="Times New Roman"/>
        </w:rPr>
        <w:t>, segundo definido por T</w:t>
      </w:r>
      <w:r w:rsidR="00631EF8" w:rsidRPr="00111B01">
        <w:rPr>
          <w:rFonts w:ascii="Times New Roman" w:hAnsi="Times New Roman" w:cs="Times New Roman"/>
        </w:rPr>
        <w:t>RIOLA (2013)</w:t>
      </w:r>
      <w:r w:rsidR="009C3772">
        <w:rPr>
          <w:rFonts w:ascii="Times New Roman" w:hAnsi="Times New Roman" w:cs="Times New Roman"/>
          <w:vertAlign w:val="superscript"/>
        </w:rPr>
        <w:t>2</w:t>
      </w:r>
      <w:r w:rsidR="00631EF8" w:rsidRPr="00111B01">
        <w:rPr>
          <w:rFonts w:ascii="Times New Roman" w:hAnsi="Times New Roman" w:cs="Times New Roman"/>
        </w:rPr>
        <w:t xml:space="preserve">, </w:t>
      </w:r>
      <w:r w:rsidR="004757AE">
        <w:rPr>
          <w:rFonts w:ascii="Times New Roman" w:hAnsi="Times New Roman" w:cs="Times New Roman"/>
        </w:rPr>
        <w:t>resultam em</w:t>
      </w:r>
      <w:r w:rsidR="00631EF8" w:rsidRPr="00111B01">
        <w:rPr>
          <w:rFonts w:ascii="Times New Roman" w:hAnsi="Times New Roman" w:cs="Times New Roman"/>
        </w:rPr>
        <w:t xml:space="preserve"> distribuições </w:t>
      </w:r>
      <w:r w:rsidR="005D5165">
        <w:rPr>
          <w:rFonts w:ascii="Times New Roman" w:hAnsi="Times New Roman" w:cs="Times New Roman"/>
        </w:rPr>
        <w:t>que</w:t>
      </w:r>
      <w:r w:rsidR="00631EF8" w:rsidRPr="00111B01">
        <w:rPr>
          <w:rFonts w:ascii="Times New Roman" w:hAnsi="Times New Roman" w:cs="Times New Roman"/>
        </w:rPr>
        <w:t xml:space="preserve"> se estende</w:t>
      </w:r>
      <w:r w:rsidR="005D5165">
        <w:rPr>
          <w:rFonts w:ascii="Times New Roman" w:hAnsi="Times New Roman" w:cs="Times New Roman"/>
        </w:rPr>
        <w:t>m</w:t>
      </w:r>
      <w:r w:rsidR="00631EF8" w:rsidRPr="00111B01">
        <w:rPr>
          <w:rFonts w:ascii="Times New Roman" w:hAnsi="Times New Roman" w:cs="Times New Roman"/>
        </w:rPr>
        <w:t xml:space="preserve"> mais para um lado do que para outro. </w:t>
      </w:r>
      <w:r w:rsidR="009018AC">
        <w:rPr>
          <w:rFonts w:ascii="Times New Roman" w:hAnsi="Times New Roman" w:cs="Times New Roman"/>
        </w:rPr>
        <w:t>Para esse tipo, no caso do mercado da construção civil</w:t>
      </w:r>
      <w:r w:rsidR="00631EF8" w:rsidRPr="00111B01">
        <w:rPr>
          <w:rFonts w:ascii="Times New Roman" w:hAnsi="Times New Roman" w:cs="Times New Roman"/>
        </w:rPr>
        <w:t>, as amostras obtidas pelas pesquisas de preços resultarão</w:t>
      </w:r>
      <w:r w:rsidR="009018AC">
        <w:rPr>
          <w:rFonts w:ascii="Times New Roman" w:hAnsi="Times New Roman" w:cs="Times New Roman"/>
        </w:rPr>
        <w:t>, geralmente,</w:t>
      </w:r>
      <w:r w:rsidR="00631EF8" w:rsidRPr="00111B01">
        <w:rPr>
          <w:rFonts w:ascii="Times New Roman" w:hAnsi="Times New Roman" w:cs="Times New Roman"/>
        </w:rPr>
        <w:t xml:space="preserve"> em distribuições assimétricas positivas</w:t>
      </w:r>
      <w:r w:rsidR="009018AC">
        <w:rPr>
          <w:rFonts w:ascii="Times New Roman" w:hAnsi="Times New Roman" w:cs="Times New Roman"/>
        </w:rPr>
        <w:t>, situação na qual a mediana situar-se-á acima dos valores de maior frequência.</w:t>
      </w:r>
      <w:r w:rsidR="00631EF8">
        <w:rPr>
          <w:rFonts w:ascii="Times New Roman" w:hAnsi="Times New Roman" w:cs="Times New Roman"/>
        </w:rPr>
        <w:t xml:space="preserve"> </w:t>
      </w:r>
      <w:r w:rsidRPr="00111B01">
        <w:rPr>
          <w:rFonts w:ascii="Times New Roman" w:hAnsi="Times New Roman" w:cs="Times New Roman"/>
        </w:rPr>
        <w:t>A</w:t>
      </w:r>
      <w:r w:rsidR="00631EF8">
        <w:rPr>
          <w:rFonts w:ascii="Times New Roman" w:hAnsi="Times New Roman" w:cs="Times New Roman"/>
        </w:rPr>
        <w:t>s</w:t>
      </w:r>
      <w:r w:rsidRPr="00111B01">
        <w:rPr>
          <w:rFonts w:ascii="Times New Roman" w:hAnsi="Times New Roman" w:cs="Times New Roman"/>
        </w:rPr>
        <w:t xml:space="preserve"> Figura</w:t>
      </w:r>
      <w:r w:rsidR="00631EF8">
        <w:rPr>
          <w:rFonts w:ascii="Times New Roman" w:hAnsi="Times New Roman" w:cs="Times New Roman"/>
        </w:rPr>
        <w:t>s</w:t>
      </w:r>
      <w:r w:rsidRPr="00111B01">
        <w:rPr>
          <w:rFonts w:ascii="Times New Roman" w:hAnsi="Times New Roman" w:cs="Times New Roman"/>
        </w:rPr>
        <w:t xml:space="preserve"> 1</w:t>
      </w:r>
      <w:r w:rsidR="00631EF8">
        <w:rPr>
          <w:rFonts w:ascii="Times New Roman" w:hAnsi="Times New Roman" w:cs="Times New Roman"/>
        </w:rPr>
        <w:t xml:space="preserve"> e 2</w:t>
      </w:r>
      <w:r w:rsidRPr="00111B01">
        <w:rPr>
          <w:rFonts w:ascii="Times New Roman" w:hAnsi="Times New Roman" w:cs="Times New Roman"/>
        </w:rPr>
        <w:t xml:space="preserve"> ilustra</w:t>
      </w:r>
      <w:r w:rsidR="00631EF8">
        <w:rPr>
          <w:rFonts w:ascii="Times New Roman" w:hAnsi="Times New Roman" w:cs="Times New Roman"/>
        </w:rPr>
        <w:t>m</w:t>
      </w:r>
      <w:r w:rsidRPr="00111B01">
        <w:rPr>
          <w:rFonts w:ascii="Times New Roman" w:hAnsi="Times New Roman" w:cs="Times New Roman"/>
        </w:rPr>
        <w:t xml:space="preserve"> </w:t>
      </w:r>
      <w:r w:rsidR="00631EF8">
        <w:rPr>
          <w:rFonts w:ascii="Times New Roman" w:hAnsi="Times New Roman" w:cs="Times New Roman"/>
        </w:rPr>
        <w:t>exemplos dessas distribuições</w:t>
      </w:r>
      <w:r w:rsidRPr="00111B01">
        <w:rPr>
          <w:rFonts w:ascii="Times New Roman" w:hAnsi="Times New Roman" w:cs="Times New Roman"/>
        </w:rPr>
        <w:t>.</w:t>
      </w:r>
    </w:p>
    <w:p w:rsidR="00BA14D6" w:rsidRDefault="00BA14D6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16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B585" wp14:editId="1F62ADCC">
                <wp:simplePos x="0" y="0"/>
                <wp:positionH relativeFrom="column">
                  <wp:posOffset>3274060</wp:posOffset>
                </wp:positionH>
                <wp:positionV relativeFrom="paragraph">
                  <wp:posOffset>148060</wp:posOffset>
                </wp:positionV>
                <wp:extent cx="493395" cy="21844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65" w:rsidRPr="005D5165" w:rsidRDefault="005D516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51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7.8pt;margin-top:11.65pt;width:38.8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" filled="f" stroked="f">
                <v:textbox>
                  <w:txbxContent>
                    <w:p w:rsidR="005D5165" w:rsidRPr="005D5165" w:rsidRDefault="005D516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5D51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moda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1EF8" w:rsidTr="00631EF8">
        <w:tc>
          <w:tcPr>
            <w:tcW w:w="4889" w:type="dxa"/>
          </w:tcPr>
          <w:p w:rsidR="00631EF8" w:rsidRDefault="009C3772" w:rsidP="0011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425" w:dyaOrig="6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25pt;height:101.15pt" o:ole="">
                  <v:imagedata r:id="rId7" o:title=""/>
                </v:shape>
                <o:OLEObject Type="Embed" ProgID="PBrush" ShapeID="_x0000_i1025" DrawAspect="Content" ObjectID="_1562055242" r:id="rId8"/>
              </w:object>
            </w:r>
          </w:p>
        </w:tc>
        <w:tc>
          <w:tcPr>
            <w:tcW w:w="4889" w:type="dxa"/>
          </w:tcPr>
          <w:p w:rsidR="00631EF8" w:rsidRDefault="005D5165" w:rsidP="0011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5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7CD40" wp14:editId="4FA9F82D">
                      <wp:simplePos x="0" y="0"/>
                      <wp:positionH relativeFrom="column">
                        <wp:posOffset>656695</wp:posOffset>
                      </wp:positionH>
                      <wp:positionV relativeFrom="paragraph">
                        <wp:posOffset>37465</wp:posOffset>
                      </wp:positionV>
                      <wp:extent cx="566420" cy="201930"/>
                      <wp:effectExtent l="0" t="0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165" w:rsidRPr="005D5165" w:rsidRDefault="005D516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mediana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1.7pt;margin-top:2.95pt;width:44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" filled="f" stroked="f">
                      <v:textbox>
                        <w:txbxContent>
                          <w:p w:rsidR="005D5165" w:rsidRPr="005D5165" w:rsidRDefault="005D516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mediana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165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A2ADCA" wp14:editId="69F1F73F">
                      <wp:simplePos x="0" y="0"/>
                      <wp:positionH relativeFrom="column">
                        <wp:posOffset>783485</wp:posOffset>
                      </wp:positionH>
                      <wp:positionV relativeFrom="paragraph">
                        <wp:posOffset>222250</wp:posOffset>
                      </wp:positionV>
                      <wp:extent cx="566591" cy="201930"/>
                      <wp:effectExtent l="0" t="0" r="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91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165" w:rsidRPr="005D5165" w:rsidRDefault="005D516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média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.7pt;margin-top:17.5pt;width:44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" filled="f" stroked="f">
                      <v:textbox>
                        <w:txbxContent>
                          <w:p w:rsidR="005D5165" w:rsidRPr="005D5165" w:rsidRDefault="005D516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média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772" w:rsidRPr="00111B0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D57F93" wp14:editId="488C280F">
                  <wp:extent cx="2809875" cy="1363329"/>
                  <wp:effectExtent l="0" t="0" r="0" b="889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83" cy="136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F8" w:rsidTr="00631EF8">
        <w:tc>
          <w:tcPr>
            <w:tcW w:w="4889" w:type="dxa"/>
          </w:tcPr>
          <w:p w:rsidR="00631EF8" w:rsidRPr="009C3772" w:rsidRDefault="009C3772" w:rsidP="009C3772">
            <w:pPr>
              <w:jc w:val="both"/>
              <w:rPr>
                <w:rFonts w:ascii="Times New Roman" w:hAnsi="Times New Roman" w:cs="Times New Roman"/>
              </w:rPr>
            </w:pPr>
            <w:r w:rsidRPr="009C3772">
              <w:rPr>
                <w:rFonts w:ascii="Times New Roman" w:hAnsi="Times New Roman" w:cs="Times New Roman"/>
                <w:b/>
              </w:rPr>
              <w:t>Figura 1</w:t>
            </w:r>
            <w:r w:rsidRPr="009C3772">
              <w:rPr>
                <w:rFonts w:ascii="Times New Roman" w:hAnsi="Times New Roman" w:cs="Times New Roman"/>
              </w:rPr>
              <w:t xml:space="preserve"> – Gráfico de distribuição onde é observada uma distribuição bimodal. </w:t>
            </w:r>
          </w:p>
        </w:tc>
        <w:tc>
          <w:tcPr>
            <w:tcW w:w="4889" w:type="dxa"/>
          </w:tcPr>
          <w:p w:rsidR="00631EF8" w:rsidRDefault="009C3772" w:rsidP="005D5165">
            <w:pPr>
              <w:ind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72">
              <w:rPr>
                <w:rFonts w:ascii="Times New Roman" w:hAnsi="Times New Roman" w:cs="Times New Roman"/>
                <w:b/>
              </w:rPr>
              <w:t>Figura 2</w:t>
            </w:r>
            <w:r w:rsidRPr="009C3772">
              <w:rPr>
                <w:rFonts w:ascii="Times New Roman" w:hAnsi="Times New Roman" w:cs="Times New Roman"/>
              </w:rPr>
              <w:t xml:space="preserve"> – Gráfico de distribuição onde é observada uma distribuição assimétrica positiva. </w:t>
            </w:r>
          </w:p>
        </w:tc>
      </w:tr>
    </w:tbl>
    <w:p w:rsidR="00BA14D6" w:rsidRDefault="00BA14D6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81CD3" w:rsidRPr="00111B01" w:rsidRDefault="00383B03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>Além desses aspectos, estudos já desenvolvidos demonstram que fatores econômicos relevantes não são assimilados nas pesquisas realizadas pelo IBGE.</w:t>
      </w:r>
      <w:r w:rsidR="00605016">
        <w:rPr>
          <w:rFonts w:ascii="Times New Roman" w:hAnsi="Times New Roman" w:cs="Times New Roman"/>
        </w:rPr>
        <w:t xml:space="preserve"> </w:t>
      </w:r>
      <w:r w:rsidR="00B81CD3" w:rsidRPr="00111B01">
        <w:rPr>
          <w:rFonts w:ascii="Times New Roman" w:hAnsi="Times New Roman" w:cs="Times New Roman"/>
        </w:rPr>
        <w:t xml:space="preserve">Destaca-se </w:t>
      </w:r>
      <w:r w:rsidRPr="00111B01">
        <w:rPr>
          <w:rFonts w:ascii="Times New Roman" w:hAnsi="Times New Roman" w:cs="Times New Roman"/>
        </w:rPr>
        <w:t xml:space="preserve">nesse cenário, </w:t>
      </w:r>
      <w:r w:rsidR="00B81CD3" w:rsidRPr="00111B01">
        <w:rPr>
          <w:rFonts w:ascii="Times New Roman" w:hAnsi="Times New Roman" w:cs="Times New Roman"/>
        </w:rPr>
        <w:t>o trabalho realizado por SILVA FILHO et. al. (2012)</w:t>
      </w:r>
      <w:r w:rsidR="009C3772">
        <w:rPr>
          <w:rFonts w:ascii="Times New Roman" w:hAnsi="Times New Roman" w:cs="Times New Roman"/>
          <w:vertAlign w:val="superscript"/>
        </w:rPr>
        <w:t>3</w:t>
      </w:r>
      <w:r w:rsidR="00B81CD3" w:rsidRPr="00111B01">
        <w:rPr>
          <w:rFonts w:ascii="Times New Roman" w:hAnsi="Times New Roman" w:cs="Times New Roman"/>
        </w:rPr>
        <w:t xml:space="preserve"> que contemplou um estudo pioneiro </w:t>
      </w:r>
      <w:r w:rsidR="008437E0" w:rsidRPr="00111B01">
        <w:rPr>
          <w:rFonts w:ascii="Times New Roman" w:hAnsi="Times New Roman" w:cs="Times New Roman"/>
        </w:rPr>
        <w:t>analisando os efeitos cotação e barganha frente a</w:t>
      </w:r>
      <w:r w:rsidR="00B81CD3" w:rsidRPr="00111B01">
        <w:rPr>
          <w:rFonts w:ascii="Times New Roman" w:hAnsi="Times New Roman" w:cs="Times New Roman"/>
        </w:rPr>
        <w:t xml:space="preserve">os preços divulgados pela Caixa Econômica. </w:t>
      </w:r>
    </w:p>
    <w:p w:rsidR="000810F9" w:rsidRPr="00111B01" w:rsidRDefault="000810F9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 xml:space="preserve">Em acolhimento ao trabalho desenvolvido </w:t>
      </w:r>
      <w:r w:rsidR="004614D8" w:rsidRPr="00111B01">
        <w:rPr>
          <w:rFonts w:ascii="Times New Roman" w:hAnsi="Times New Roman" w:cs="Times New Roman"/>
        </w:rPr>
        <w:t>por aqueles</w:t>
      </w:r>
      <w:r w:rsidRPr="00111B01">
        <w:rPr>
          <w:rFonts w:ascii="Times New Roman" w:hAnsi="Times New Roman" w:cs="Times New Roman"/>
        </w:rPr>
        <w:t xml:space="preserve"> </w:t>
      </w:r>
      <w:r w:rsidR="009018AC">
        <w:rPr>
          <w:rFonts w:ascii="Times New Roman" w:hAnsi="Times New Roman" w:cs="Times New Roman"/>
        </w:rPr>
        <w:t>autores</w:t>
      </w:r>
      <w:r w:rsidRPr="00111B01">
        <w:rPr>
          <w:rFonts w:ascii="Times New Roman" w:hAnsi="Times New Roman" w:cs="Times New Roman"/>
        </w:rPr>
        <w:t>, o Plenário do Tribunal de Contas da União proferiu o Acórdão 2984/2013</w:t>
      </w:r>
      <w:r w:rsidR="009C3772">
        <w:rPr>
          <w:rFonts w:ascii="Times New Roman" w:hAnsi="Times New Roman" w:cs="Times New Roman"/>
          <w:vertAlign w:val="superscript"/>
        </w:rPr>
        <w:t>4</w:t>
      </w:r>
      <w:r w:rsidRPr="00111B01">
        <w:rPr>
          <w:rFonts w:ascii="Times New Roman" w:hAnsi="Times New Roman" w:cs="Times New Roman"/>
        </w:rPr>
        <w:t xml:space="preserve"> que, em síntese, recomenda a pesquisa de preços diretamente no mercado, especialmente em obras que </w:t>
      </w:r>
      <w:r w:rsidR="00AE26C9">
        <w:rPr>
          <w:rFonts w:ascii="Times New Roman" w:hAnsi="Times New Roman" w:cs="Times New Roman"/>
        </w:rPr>
        <w:t>demanda</w:t>
      </w:r>
      <w:r w:rsidRPr="00111B01">
        <w:rPr>
          <w:rFonts w:ascii="Times New Roman" w:hAnsi="Times New Roman" w:cs="Times New Roman"/>
        </w:rPr>
        <w:t xml:space="preserve">m grandes volumes de aquisições de materiais. </w:t>
      </w:r>
      <w:r w:rsidR="009018AC">
        <w:rPr>
          <w:rFonts w:ascii="Times New Roman" w:hAnsi="Times New Roman" w:cs="Times New Roman"/>
        </w:rPr>
        <w:t>Infelizmente</w:t>
      </w:r>
      <w:r w:rsidRPr="00111B01">
        <w:rPr>
          <w:rFonts w:ascii="Times New Roman" w:hAnsi="Times New Roman" w:cs="Times New Roman"/>
        </w:rPr>
        <w:t xml:space="preserve">, a prática demonstra que os órgãos da Administração Pública não vêm acolhendo a recomendação do TCU. </w:t>
      </w:r>
    </w:p>
    <w:p w:rsidR="00B119BD" w:rsidRPr="00111B01" w:rsidRDefault="00B119BD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 xml:space="preserve">Com o objetivo de ampliar a análise realizada </w:t>
      </w:r>
      <w:r w:rsidR="009018AC">
        <w:rPr>
          <w:rFonts w:ascii="Times New Roman" w:hAnsi="Times New Roman" w:cs="Times New Roman"/>
        </w:rPr>
        <w:t>pelos</w:t>
      </w:r>
      <w:r w:rsidRPr="00111B01">
        <w:rPr>
          <w:rFonts w:ascii="Times New Roman" w:hAnsi="Times New Roman" w:cs="Times New Roman"/>
        </w:rPr>
        <w:t xml:space="preserve"> autores </w:t>
      </w:r>
      <w:r w:rsidR="009018AC">
        <w:rPr>
          <w:rFonts w:ascii="Times New Roman" w:hAnsi="Times New Roman" w:cs="Times New Roman"/>
        </w:rPr>
        <w:t xml:space="preserve">da pesquisa pioneira </w:t>
      </w:r>
      <w:r w:rsidRPr="00111B01">
        <w:rPr>
          <w:rFonts w:ascii="Times New Roman" w:hAnsi="Times New Roman" w:cs="Times New Roman"/>
        </w:rPr>
        <w:t>e, considerando as</w:t>
      </w:r>
      <w:r w:rsidR="009018AC">
        <w:rPr>
          <w:rFonts w:ascii="Times New Roman" w:hAnsi="Times New Roman" w:cs="Times New Roman"/>
        </w:rPr>
        <w:t xml:space="preserve"> particularidades e </w:t>
      </w:r>
      <w:r w:rsidRPr="00111B01">
        <w:rPr>
          <w:rFonts w:ascii="Times New Roman" w:hAnsi="Times New Roman" w:cs="Times New Roman"/>
        </w:rPr>
        <w:t xml:space="preserve">informações obtidas durante a Operação Lava Jato, o autor desenvolveu uma nova </w:t>
      </w:r>
      <w:r w:rsidRPr="00111B01">
        <w:rPr>
          <w:rFonts w:ascii="Times New Roman" w:hAnsi="Times New Roman" w:cs="Times New Roman"/>
        </w:rPr>
        <w:lastRenderedPageBreak/>
        <w:t xml:space="preserve">pesquisa, </w:t>
      </w:r>
      <w:r w:rsidR="009018AC">
        <w:rPr>
          <w:rFonts w:ascii="Times New Roman" w:hAnsi="Times New Roman" w:cs="Times New Roman"/>
        </w:rPr>
        <w:t xml:space="preserve">com enfoque probabilístico, nesta oportunidade, </w:t>
      </w:r>
      <w:r w:rsidRPr="00111B01">
        <w:rPr>
          <w:rFonts w:ascii="Times New Roman" w:hAnsi="Times New Roman" w:cs="Times New Roman"/>
        </w:rPr>
        <w:t>confront</w:t>
      </w:r>
      <w:r w:rsidR="009018AC">
        <w:rPr>
          <w:rFonts w:ascii="Times New Roman" w:hAnsi="Times New Roman" w:cs="Times New Roman"/>
        </w:rPr>
        <w:t>and</w:t>
      </w:r>
      <w:r w:rsidRPr="00111B01">
        <w:rPr>
          <w:rFonts w:ascii="Times New Roman" w:hAnsi="Times New Roman" w:cs="Times New Roman"/>
        </w:rPr>
        <w:t xml:space="preserve">o </w:t>
      </w:r>
      <w:r w:rsidR="001A559A" w:rsidRPr="00111B01">
        <w:rPr>
          <w:rFonts w:ascii="Times New Roman" w:hAnsi="Times New Roman" w:cs="Times New Roman"/>
        </w:rPr>
        <w:t xml:space="preserve">os preços </w:t>
      </w:r>
      <w:r w:rsidR="00A435C2">
        <w:rPr>
          <w:rFonts w:ascii="Times New Roman" w:hAnsi="Times New Roman" w:cs="Times New Roman"/>
        </w:rPr>
        <w:t>efetivos, dispendidos</w:t>
      </w:r>
      <w:r w:rsidR="001A559A" w:rsidRPr="00111B01">
        <w:rPr>
          <w:rFonts w:ascii="Times New Roman" w:hAnsi="Times New Roman" w:cs="Times New Roman"/>
        </w:rPr>
        <w:t xml:space="preserve"> pelas empreiteiras</w:t>
      </w:r>
      <w:r w:rsidR="00A435C2">
        <w:rPr>
          <w:rFonts w:ascii="Times New Roman" w:hAnsi="Times New Roman" w:cs="Times New Roman"/>
        </w:rPr>
        <w:t>,</w:t>
      </w:r>
      <w:r w:rsidR="001A559A" w:rsidRPr="00111B01">
        <w:rPr>
          <w:rFonts w:ascii="Times New Roman" w:hAnsi="Times New Roman" w:cs="Times New Roman"/>
        </w:rPr>
        <w:t xml:space="preserve"> frente às faixas do primeiro quartil e mediana, constantes do SINAPI</w:t>
      </w:r>
      <w:r w:rsidRPr="00111B01">
        <w:rPr>
          <w:rFonts w:ascii="Times New Roman" w:hAnsi="Times New Roman" w:cs="Times New Roman"/>
        </w:rPr>
        <w:t>.</w:t>
      </w:r>
    </w:p>
    <w:p w:rsidR="00B119BD" w:rsidRPr="00111B01" w:rsidRDefault="00B119BD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>O autor selecionou 232 dados constantes de notas fiscais, controle de custos, propostas comerciais e autorizações de fornecimentos, todas de obras de grande porte, localizadas em cinco praças comerciais (Brasília, Natal, Rio de Janeiro, São Paulo e Recife)</w:t>
      </w:r>
      <w:r w:rsidR="00A435C2">
        <w:rPr>
          <w:rFonts w:ascii="Times New Roman" w:hAnsi="Times New Roman" w:cs="Times New Roman"/>
        </w:rPr>
        <w:t xml:space="preserve"> nos anos de 2009 a 2014</w:t>
      </w:r>
      <w:r w:rsidRPr="00111B01">
        <w:rPr>
          <w:rFonts w:ascii="Times New Roman" w:hAnsi="Times New Roman" w:cs="Times New Roman"/>
        </w:rPr>
        <w:t>.</w:t>
      </w:r>
    </w:p>
    <w:p w:rsidR="00BF2983" w:rsidRPr="00111B01" w:rsidRDefault="00BF2983" w:rsidP="0060501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1B01">
        <w:rPr>
          <w:rFonts w:ascii="Times New Roman" w:hAnsi="Times New Roman" w:cs="Times New Roman"/>
        </w:rPr>
        <w:t>I</w:t>
      </w:r>
      <w:r w:rsidR="00B119BD" w:rsidRPr="00111B01">
        <w:rPr>
          <w:rFonts w:ascii="Times New Roman" w:hAnsi="Times New Roman" w:cs="Times New Roman"/>
        </w:rPr>
        <w:t>nicialmente</w:t>
      </w:r>
      <w:r w:rsidRPr="00111B01">
        <w:rPr>
          <w:rFonts w:ascii="Times New Roman" w:hAnsi="Times New Roman" w:cs="Times New Roman"/>
        </w:rPr>
        <w:t>, foram</w:t>
      </w:r>
      <w:r w:rsidR="00B119BD" w:rsidRPr="00111B01">
        <w:rPr>
          <w:rFonts w:ascii="Times New Roman" w:hAnsi="Times New Roman" w:cs="Times New Roman"/>
        </w:rPr>
        <w:t xml:space="preserve"> </w:t>
      </w:r>
      <w:r w:rsidRPr="00111B01">
        <w:rPr>
          <w:rFonts w:ascii="Times New Roman" w:hAnsi="Times New Roman" w:cs="Times New Roman"/>
        </w:rPr>
        <w:t>pré-selecionados</w:t>
      </w:r>
      <w:r w:rsidR="00B119BD" w:rsidRPr="00111B01">
        <w:rPr>
          <w:rFonts w:ascii="Times New Roman" w:hAnsi="Times New Roman" w:cs="Times New Roman"/>
        </w:rPr>
        <w:t xml:space="preserve"> todos os insumos que possuíam descrição correlata no SINAPI. Para cada um dos insumos </w:t>
      </w:r>
      <w:r w:rsidRPr="00111B01">
        <w:rPr>
          <w:rFonts w:ascii="Times New Roman" w:hAnsi="Times New Roman" w:cs="Times New Roman"/>
        </w:rPr>
        <w:t>pré-</w:t>
      </w:r>
      <w:r w:rsidR="00B119BD" w:rsidRPr="00111B01">
        <w:rPr>
          <w:rFonts w:ascii="Times New Roman" w:hAnsi="Times New Roman" w:cs="Times New Roman"/>
        </w:rPr>
        <w:t xml:space="preserve">selecionados foi identificada a data de referência e local de entrega, adotando-se </w:t>
      </w:r>
      <w:r w:rsidR="001A559A" w:rsidRPr="00111B01">
        <w:rPr>
          <w:rFonts w:ascii="Times New Roman" w:hAnsi="Times New Roman" w:cs="Times New Roman"/>
        </w:rPr>
        <w:t xml:space="preserve">os mesmos parâmetros de data e localização nas consultas ao SINAPI. Foram então extraídos os preços relativos ao primeiro quartil e a mediana de cada um dos insumos </w:t>
      </w:r>
      <w:r w:rsidRPr="00111B01">
        <w:rPr>
          <w:rFonts w:ascii="Times New Roman" w:hAnsi="Times New Roman" w:cs="Times New Roman"/>
        </w:rPr>
        <w:t>pesquisados</w:t>
      </w:r>
      <w:r w:rsidR="001A559A" w:rsidRPr="00111B01">
        <w:rPr>
          <w:rFonts w:ascii="Times New Roman" w:hAnsi="Times New Roman" w:cs="Times New Roman"/>
        </w:rPr>
        <w:t>.</w:t>
      </w:r>
      <w:r w:rsidR="00605016">
        <w:rPr>
          <w:rFonts w:ascii="Times New Roman" w:hAnsi="Times New Roman" w:cs="Times New Roman"/>
        </w:rPr>
        <w:t xml:space="preserve"> </w:t>
      </w:r>
      <w:r w:rsidRPr="00111B01">
        <w:rPr>
          <w:rFonts w:ascii="Times New Roman" w:hAnsi="Times New Roman" w:cs="Times New Roman"/>
        </w:rPr>
        <w:t>A partir dos valores pesquisados, foi calculado o desconto auferido</w:t>
      </w:r>
      <w:r w:rsidR="00605016">
        <w:rPr>
          <w:rFonts w:ascii="Times New Roman" w:hAnsi="Times New Roman" w:cs="Times New Roman"/>
        </w:rPr>
        <w:t xml:space="preserve"> frente a cada referência</w:t>
      </w:r>
      <w:r w:rsidR="00A435C2">
        <w:rPr>
          <w:rFonts w:ascii="Times New Roman" w:hAnsi="Times New Roman" w:cs="Times New Roman"/>
        </w:rPr>
        <w:t xml:space="preserve"> - primeiro quartil e mediana</w:t>
      </w:r>
      <w:r w:rsidR="00605016">
        <w:rPr>
          <w:rFonts w:ascii="Times New Roman" w:hAnsi="Times New Roman" w:cs="Times New Roman"/>
        </w:rPr>
        <w:t>.</w:t>
      </w:r>
    </w:p>
    <w:p w:rsidR="00B119BD" w:rsidRPr="00605016" w:rsidRDefault="00BF2983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05016">
        <w:rPr>
          <w:rFonts w:ascii="Times New Roman" w:hAnsi="Times New Roman" w:cs="Times New Roman"/>
        </w:rPr>
        <w:t xml:space="preserve">Como resultado do confronto, </w:t>
      </w:r>
      <w:r w:rsidR="00B119BD" w:rsidRPr="00605016">
        <w:rPr>
          <w:rFonts w:ascii="Times New Roman" w:hAnsi="Times New Roman" w:cs="Times New Roman"/>
        </w:rPr>
        <w:t xml:space="preserve">foi identificado um desconto percentual médio de 33,3% entre os preços praticados frente às respectivas medianas constantes das tabelas do SINAPI. </w:t>
      </w:r>
      <w:r w:rsidR="00AE26C9">
        <w:rPr>
          <w:rFonts w:ascii="Times New Roman" w:hAnsi="Times New Roman" w:cs="Times New Roman"/>
        </w:rPr>
        <w:t>Já, em relação ao primeiro quartil, foi observado um desconto</w:t>
      </w:r>
      <w:r w:rsidR="00B119BD" w:rsidRPr="00605016">
        <w:rPr>
          <w:rFonts w:ascii="Times New Roman" w:hAnsi="Times New Roman" w:cs="Times New Roman"/>
        </w:rPr>
        <w:t xml:space="preserve"> médio de 23,1%.</w:t>
      </w:r>
    </w:p>
    <w:p w:rsidR="00B119BD" w:rsidRDefault="00605016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ponto de vista probabilístico, a</w:t>
      </w:r>
      <w:r w:rsidR="00B119BD" w:rsidRPr="00605016">
        <w:rPr>
          <w:rFonts w:ascii="Times New Roman" w:hAnsi="Times New Roman" w:cs="Times New Roman"/>
        </w:rPr>
        <w:t xml:space="preserve">lgumas funções descrevem muito bem a amostra colhida, dentre as quais, a função da distribuição Normal. Como essa distribuição é mais conhecida entre os engenheiros, o estudo valeu-se dessa função para descrever o fenômeno estudado. As Figuras </w:t>
      </w:r>
      <w:r w:rsidR="00BF2983" w:rsidRPr="00605016">
        <w:rPr>
          <w:rFonts w:ascii="Times New Roman" w:hAnsi="Times New Roman" w:cs="Times New Roman"/>
        </w:rPr>
        <w:t>3 e 4</w:t>
      </w:r>
      <w:r w:rsidR="00B119BD" w:rsidRPr="00605016">
        <w:rPr>
          <w:rFonts w:ascii="Times New Roman" w:hAnsi="Times New Roman" w:cs="Times New Roman"/>
        </w:rPr>
        <w:t xml:space="preserve"> ilustram a distribuição Normal aplicada aos dados em questão.</w:t>
      </w:r>
    </w:p>
    <w:p w:rsidR="00BA14D6" w:rsidRPr="00605016" w:rsidRDefault="00BA14D6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843"/>
      </w:tblGrid>
      <w:tr w:rsidR="00F50290" w:rsidRPr="00BA14D6" w:rsidTr="00BA14D6">
        <w:trPr>
          <w:trHeight w:val="2779"/>
          <w:jc w:val="center"/>
        </w:trPr>
        <w:tc>
          <w:tcPr>
            <w:tcW w:w="4633" w:type="dxa"/>
            <w:vAlign w:val="center"/>
          </w:tcPr>
          <w:p w:rsidR="00F50290" w:rsidRPr="00BA14D6" w:rsidRDefault="00F50290" w:rsidP="00F5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D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C983FE" wp14:editId="52D972CD">
                  <wp:extent cx="2638905" cy="1980000"/>
                  <wp:effectExtent l="0" t="0" r="952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905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Align w:val="center"/>
          </w:tcPr>
          <w:p w:rsidR="00F50290" w:rsidRPr="00BA14D6" w:rsidRDefault="00BA14D6" w:rsidP="00F5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D6">
              <w:rPr>
                <w:rFonts w:ascii="Times New Roman" w:hAnsi="Times New Roman" w:cs="Times New Roman"/>
              </w:rPr>
              <w:object w:dxaOrig="10935" w:dyaOrig="8220">
                <v:shape id="_x0000_i1026" type="#_x0000_t75" style="width:208.95pt;height:155.95pt" o:ole="">
                  <v:imagedata r:id="rId11" o:title=""/>
                </v:shape>
                <o:OLEObject Type="Embed" ProgID="PBrush" ShapeID="_x0000_i1026" DrawAspect="Content" ObjectID="_1562055243" r:id="rId12"/>
              </w:object>
            </w:r>
          </w:p>
        </w:tc>
      </w:tr>
      <w:tr w:rsidR="00F50290" w:rsidRPr="00BA14D6" w:rsidTr="00BA14D6">
        <w:trPr>
          <w:trHeight w:val="551"/>
          <w:jc w:val="center"/>
        </w:trPr>
        <w:tc>
          <w:tcPr>
            <w:tcW w:w="4633" w:type="dxa"/>
          </w:tcPr>
          <w:p w:rsidR="00F50290" w:rsidRPr="00BA14D6" w:rsidRDefault="00F50290" w:rsidP="002872AA">
            <w:pPr>
              <w:ind w:left="284" w:right="164"/>
              <w:jc w:val="both"/>
              <w:rPr>
                <w:rFonts w:ascii="Times New Roman" w:hAnsi="Times New Roman" w:cs="Times New Roman"/>
                <w:noProof/>
                <w:lang w:eastAsia="pt-BR"/>
              </w:rPr>
            </w:pPr>
            <w:r w:rsidRPr="00BA14D6">
              <w:rPr>
                <w:rFonts w:ascii="Times New Roman" w:hAnsi="Times New Roman" w:cs="Times New Roman"/>
                <w:b/>
              </w:rPr>
              <w:t>Figura 3</w:t>
            </w:r>
            <w:r w:rsidRPr="00BA14D6">
              <w:rPr>
                <w:rFonts w:ascii="Times New Roman" w:hAnsi="Times New Roman" w:cs="Times New Roman"/>
              </w:rPr>
              <w:t xml:space="preserve"> – Distribuição de frequência dos descontos obtidos em relação à mediana.</w:t>
            </w:r>
          </w:p>
        </w:tc>
        <w:tc>
          <w:tcPr>
            <w:tcW w:w="4843" w:type="dxa"/>
          </w:tcPr>
          <w:p w:rsidR="00F50290" w:rsidRPr="00BA14D6" w:rsidRDefault="00F50290" w:rsidP="00BA14D6">
            <w:pPr>
              <w:ind w:left="140"/>
              <w:jc w:val="both"/>
              <w:rPr>
                <w:rFonts w:ascii="Times New Roman" w:hAnsi="Times New Roman" w:cs="Times New Roman"/>
              </w:rPr>
            </w:pPr>
            <w:r w:rsidRPr="00BA14D6">
              <w:rPr>
                <w:rFonts w:ascii="Times New Roman" w:hAnsi="Times New Roman" w:cs="Times New Roman"/>
                <w:b/>
              </w:rPr>
              <w:t>Figura 4</w:t>
            </w:r>
            <w:r w:rsidRPr="00BA14D6">
              <w:rPr>
                <w:rFonts w:ascii="Times New Roman" w:hAnsi="Times New Roman" w:cs="Times New Roman"/>
              </w:rPr>
              <w:t xml:space="preserve"> – Distribuição de frequência dos descontos obtidos em relação ao primeiro quartil.</w:t>
            </w:r>
          </w:p>
        </w:tc>
      </w:tr>
    </w:tbl>
    <w:p w:rsidR="00BA14D6" w:rsidRDefault="00BA14D6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119BD" w:rsidRDefault="00B119BD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05016">
        <w:rPr>
          <w:rFonts w:ascii="Times New Roman" w:hAnsi="Times New Roman" w:cs="Times New Roman"/>
        </w:rPr>
        <w:t>Considerando os parâmetros obtidos da distribuição Normal</w:t>
      </w:r>
      <w:r w:rsidR="00A435C2">
        <w:rPr>
          <w:rFonts w:ascii="Times New Roman" w:hAnsi="Times New Roman" w:cs="Times New Roman"/>
        </w:rPr>
        <w:t xml:space="preserve"> (média e desvio padrão)</w:t>
      </w:r>
      <w:r w:rsidRPr="00605016">
        <w:rPr>
          <w:rFonts w:ascii="Times New Roman" w:hAnsi="Times New Roman" w:cs="Times New Roman"/>
        </w:rPr>
        <w:t xml:space="preserve">, buscou-se verificar qual a probabilidade do primeiro quartil e da mediana corresponderem aos preços efetivamente praticados em obras de grande porte. No caso do primeiro quartil, foi identificada uma probabilidade de 15% dos preços </w:t>
      </w:r>
      <w:r w:rsidR="00111B01" w:rsidRPr="00605016">
        <w:rPr>
          <w:rFonts w:ascii="Times New Roman" w:hAnsi="Times New Roman" w:cs="Times New Roman"/>
        </w:rPr>
        <w:t>efetivos</w:t>
      </w:r>
      <w:r w:rsidRPr="00605016">
        <w:rPr>
          <w:rFonts w:ascii="Times New Roman" w:hAnsi="Times New Roman" w:cs="Times New Roman"/>
        </w:rPr>
        <w:t xml:space="preserve"> situarem-se acima do primeiro quartil, ou seja, a amostra pesquisada indica que há uma probabilidade </w:t>
      </w:r>
      <w:r w:rsidR="002D20B5" w:rsidRPr="00605016">
        <w:rPr>
          <w:rFonts w:ascii="Times New Roman" w:hAnsi="Times New Roman" w:cs="Times New Roman"/>
        </w:rPr>
        <w:t xml:space="preserve">de </w:t>
      </w:r>
      <w:r w:rsidRPr="00605016">
        <w:rPr>
          <w:rFonts w:ascii="Times New Roman" w:hAnsi="Times New Roman" w:cs="Times New Roman"/>
        </w:rPr>
        <w:t xml:space="preserve">85% dos preços </w:t>
      </w:r>
      <w:r w:rsidR="00605016">
        <w:rPr>
          <w:rFonts w:ascii="Times New Roman" w:hAnsi="Times New Roman" w:cs="Times New Roman"/>
        </w:rPr>
        <w:t>praticados</w:t>
      </w:r>
      <w:r w:rsidRPr="00605016">
        <w:rPr>
          <w:rFonts w:ascii="Times New Roman" w:hAnsi="Times New Roman" w:cs="Times New Roman"/>
        </w:rPr>
        <w:t xml:space="preserve"> situarem-se abaixo do primeiro quartil do SINAPI. Já em relação à mediana, os resultados são ainda mais extremos. Comparando-se os preços </w:t>
      </w:r>
      <w:r w:rsidR="00111B01" w:rsidRPr="00605016">
        <w:rPr>
          <w:rFonts w:ascii="Times New Roman" w:hAnsi="Times New Roman" w:cs="Times New Roman"/>
        </w:rPr>
        <w:t>efetivos</w:t>
      </w:r>
      <w:r w:rsidRPr="00605016">
        <w:rPr>
          <w:rFonts w:ascii="Times New Roman" w:hAnsi="Times New Roman" w:cs="Times New Roman"/>
        </w:rPr>
        <w:t xml:space="preserve"> com a mediana, pode-se indicar que a probabilidade de um valor da mediana situar-se abaixo </w:t>
      </w:r>
      <w:r w:rsidR="002D20B5" w:rsidRPr="00605016">
        <w:rPr>
          <w:rFonts w:ascii="Times New Roman" w:hAnsi="Times New Roman" w:cs="Times New Roman"/>
        </w:rPr>
        <w:t>daqueles</w:t>
      </w:r>
      <w:r w:rsidRPr="00605016">
        <w:rPr>
          <w:rFonts w:ascii="Times New Roman" w:hAnsi="Times New Roman" w:cs="Times New Roman"/>
        </w:rPr>
        <w:t xml:space="preserve"> é de aproximadamente 3%, ou seja, muito pouco provável. Nesse caso, a probabilidade do preço </w:t>
      </w:r>
      <w:r w:rsidR="00111B01" w:rsidRPr="00605016">
        <w:rPr>
          <w:rFonts w:ascii="Times New Roman" w:hAnsi="Times New Roman" w:cs="Times New Roman"/>
        </w:rPr>
        <w:t>efetivo</w:t>
      </w:r>
      <w:r w:rsidRPr="00605016">
        <w:rPr>
          <w:rFonts w:ascii="Times New Roman" w:hAnsi="Times New Roman" w:cs="Times New Roman"/>
        </w:rPr>
        <w:t xml:space="preserve"> ser inferior a mediana é de 97%. </w:t>
      </w:r>
      <w:r w:rsidR="00740830">
        <w:rPr>
          <w:rFonts w:ascii="Times New Roman" w:hAnsi="Times New Roman" w:cs="Times New Roman"/>
        </w:rPr>
        <w:t>Dados os valores médios e os desvios padrões, o estudo</w:t>
      </w:r>
      <w:r w:rsidR="00AE26C9">
        <w:rPr>
          <w:rFonts w:ascii="Times New Roman" w:hAnsi="Times New Roman" w:cs="Times New Roman"/>
        </w:rPr>
        <w:t xml:space="preserve"> pode ser </w:t>
      </w:r>
      <w:r w:rsidR="00740830">
        <w:rPr>
          <w:rFonts w:ascii="Times New Roman" w:hAnsi="Times New Roman" w:cs="Times New Roman"/>
        </w:rPr>
        <w:t>aplicado em</w:t>
      </w:r>
      <w:r w:rsidR="00AE26C9">
        <w:rPr>
          <w:rFonts w:ascii="Times New Roman" w:hAnsi="Times New Roman" w:cs="Times New Roman"/>
        </w:rPr>
        <w:t xml:space="preserve"> </w:t>
      </w:r>
      <w:r w:rsidR="00740830">
        <w:rPr>
          <w:rFonts w:ascii="Times New Roman" w:hAnsi="Times New Roman" w:cs="Times New Roman"/>
        </w:rPr>
        <w:t>outra</w:t>
      </w:r>
      <w:r w:rsidR="00AE26C9">
        <w:rPr>
          <w:rFonts w:ascii="Times New Roman" w:hAnsi="Times New Roman" w:cs="Times New Roman"/>
        </w:rPr>
        <w:t xml:space="preserve">s </w:t>
      </w:r>
      <w:r w:rsidR="00740830">
        <w:rPr>
          <w:rFonts w:ascii="Times New Roman" w:hAnsi="Times New Roman" w:cs="Times New Roman"/>
        </w:rPr>
        <w:t>formas de análise</w:t>
      </w:r>
      <w:r w:rsidR="00AE26C9">
        <w:rPr>
          <w:rFonts w:ascii="Times New Roman" w:hAnsi="Times New Roman" w:cs="Times New Roman"/>
        </w:rPr>
        <w:t xml:space="preserve">. Por exemplo, </w:t>
      </w:r>
      <w:r w:rsidRPr="00605016">
        <w:rPr>
          <w:rFonts w:ascii="Times New Roman" w:hAnsi="Times New Roman" w:cs="Times New Roman"/>
        </w:rPr>
        <w:t>ao considerarmos um desconto de 10% em relação à mediana, haverá uma probabilidade de 90,3% desse preço (com desconto) situar-se acima do preço real. Já em relação ao primeiro quartil, se consideramos o mesmo 10% de desconto, o preço acolhido (com desconto) terá probabilidade de 72,6% de estar acima do preço real.</w:t>
      </w:r>
    </w:p>
    <w:p w:rsidR="00A4444A" w:rsidRPr="00605016" w:rsidRDefault="00A4444A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Nota-se ent</w:t>
      </w:r>
      <w:r w:rsidR="001A71F1">
        <w:rPr>
          <w:rFonts w:ascii="Times New Roman" w:hAnsi="Times New Roman" w:cs="Times New Roman"/>
        </w:rPr>
        <w:t>ão que</w:t>
      </w:r>
      <w:r>
        <w:rPr>
          <w:rFonts w:ascii="Times New Roman" w:hAnsi="Times New Roman" w:cs="Times New Roman"/>
        </w:rPr>
        <w:t xml:space="preserve"> a aplicação sistemática da mediana nos orçamentos elaborados pelos diversos órgãos da Administração Pública</w:t>
      </w:r>
      <w:r w:rsidR="001A71F1">
        <w:rPr>
          <w:rFonts w:ascii="Times New Roman" w:hAnsi="Times New Roman" w:cs="Times New Roman"/>
        </w:rPr>
        <w:t>,</w:t>
      </w:r>
      <w:r w:rsidRPr="00A44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sem a adequada pesquisa de mercado</w:t>
      </w:r>
      <w:r w:rsidR="001A71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acaba por ocasionar uma majoração desvirtuada dos limites de preço estabelecidos para contratação das obras públicas, </w:t>
      </w:r>
      <w:r w:rsidR="001A71F1">
        <w:rPr>
          <w:rFonts w:ascii="Times New Roman" w:hAnsi="Times New Roman" w:cs="Times New Roman"/>
        </w:rPr>
        <w:t xml:space="preserve">em especial para as obras de grande porte, </w:t>
      </w:r>
      <w:r>
        <w:rPr>
          <w:rFonts w:ascii="Times New Roman" w:hAnsi="Times New Roman" w:cs="Times New Roman"/>
        </w:rPr>
        <w:t xml:space="preserve">permitindo que </w:t>
      </w:r>
      <w:r w:rsidR="001A71F1">
        <w:rPr>
          <w:rFonts w:ascii="Times New Roman" w:hAnsi="Times New Roman" w:cs="Times New Roman"/>
        </w:rPr>
        <w:t>empresas em conluio</w:t>
      </w:r>
      <w:r>
        <w:rPr>
          <w:rFonts w:ascii="Times New Roman" w:hAnsi="Times New Roman" w:cs="Times New Roman"/>
        </w:rPr>
        <w:t xml:space="preserve"> se beneficiem dess</w:t>
      </w:r>
      <w:r w:rsidR="001A71F1">
        <w:rPr>
          <w:rFonts w:ascii="Times New Roman" w:hAnsi="Times New Roman" w:cs="Times New Roman"/>
        </w:rPr>
        <w:t>a incúria, elaborando assim</w:t>
      </w:r>
      <w:r w:rsidR="00A65A46">
        <w:rPr>
          <w:rFonts w:ascii="Times New Roman" w:hAnsi="Times New Roman" w:cs="Times New Roman"/>
        </w:rPr>
        <w:t>,</w:t>
      </w:r>
      <w:r w:rsidR="001A7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propostas com preços </w:t>
      </w:r>
      <w:r w:rsidR="001A71F1">
        <w:rPr>
          <w:rFonts w:ascii="Times New Roman" w:hAnsi="Times New Roman" w:cs="Times New Roman"/>
        </w:rPr>
        <w:t>arbitrariamente</w:t>
      </w:r>
      <w:r>
        <w:rPr>
          <w:rFonts w:ascii="Times New Roman" w:hAnsi="Times New Roman" w:cs="Times New Roman"/>
        </w:rPr>
        <w:t xml:space="preserve"> elevados</w:t>
      </w:r>
      <w:r w:rsidR="001A71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7416" w:rsidRDefault="00847416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05016">
        <w:rPr>
          <w:rFonts w:ascii="Times New Roman" w:hAnsi="Times New Roman" w:cs="Times New Roman"/>
        </w:rPr>
        <w:t xml:space="preserve">Sopesando todas as informações, </w:t>
      </w:r>
      <w:r w:rsidR="00AE26C9">
        <w:rPr>
          <w:rFonts w:ascii="Times New Roman" w:hAnsi="Times New Roman" w:cs="Times New Roman"/>
        </w:rPr>
        <w:t xml:space="preserve">nota-se que a mediana divulgada pelo SINAPI não é um estimador adequado para obras de grande porte. Em face aos achados nesse trabalho, </w:t>
      </w:r>
      <w:r w:rsidRPr="00605016">
        <w:rPr>
          <w:rFonts w:ascii="Times New Roman" w:hAnsi="Times New Roman" w:cs="Times New Roman"/>
        </w:rPr>
        <w:t xml:space="preserve">enseja ao Perito </w:t>
      </w:r>
      <w:r w:rsidRPr="00605016">
        <w:rPr>
          <w:rFonts w:ascii="Times New Roman" w:hAnsi="Times New Roman" w:cs="Times New Roman"/>
        </w:rPr>
        <w:lastRenderedPageBreak/>
        <w:t>Criminal, nos exames de preços de obras públicas, no mínimo, a adoção do primeiro quartil para os insumos mais representativos da ob</w:t>
      </w:r>
      <w:r w:rsidR="00A435C2">
        <w:rPr>
          <w:rFonts w:ascii="Times New Roman" w:hAnsi="Times New Roman" w:cs="Times New Roman"/>
        </w:rPr>
        <w:t>ra</w:t>
      </w:r>
      <w:r w:rsidR="004C342F">
        <w:rPr>
          <w:rFonts w:ascii="Times New Roman" w:hAnsi="Times New Roman" w:cs="Times New Roman"/>
        </w:rPr>
        <w:t>, almejando-se assim, obter o valor mais próximo ao pr</w:t>
      </w:r>
      <w:r w:rsidR="00917056">
        <w:rPr>
          <w:rFonts w:ascii="Times New Roman" w:hAnsi="Times New Roman" w:cs="Times New Roman"/>
        </w:rPr>
        <w:t>aticado</w:t>
      </w:r>
      <w:r w:rsidR="004C342F">
        <w:rPr>
          <w:rFonts w:ascii="Times New Roman" w:hAnsi="Times New Roman" w:cs="Times New Roman"/>
        </w:rPr>
        <w:t xml:space="preserve"> no mercado.</w:t>
      </w:r>
    </w:p>
    <w:p w:rsidR="009C3772" w:rsidRPr="00605016" w:rsidRDefault="009C3772" w:rsidP="00111B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C3772" w:rsidRPr="009C3772" w:rsidRDefault="009C3772" w:rsidP="009C3772">
      <w:pPr>
        <w:pStyle w:val="Nivel1"/>
        <w:spacing w:line="240" w:lineRule="auto"/>
        <w:rPr>
          <w:color w:val="auto"/>
          <w:sz w:val="20"/>
          <w:szCs w:val="22"/>
        </w:rPr>
      </w:pPr>
      <w:bookmarkStart w:id="1" w:name="_Toc311228598"/>
      <w:r w:rsidRPr="009C3772">
        <w:rPr>
          <w:color w:val="auto"/>
          <w:sz w:val="20"/>
          <w:szCs w:val="22"/>
        </w:rPr>
        <w:t>REFERÊNCIAS BIBLIOGRÁFICAS</w:t>
      </w:r>
      <w:bookmarkEnd w:id="1"/>
    </w:p>
    <w:p w:rsidR="009C3772" w:rsidRDefault="009C3772" w:rsidP="009C3772">
      <w:pPr>
        <w:pStyle w:val="Textodenotaderodap"/>
        <w:rPr>
          <w:rFonts w:ascii="Times New Roman" w:hAnsi="Times New Roman" w:cs="Times New Roman"/>
        </w:rPr>
      </w:pPr>
      <w:r w:rsidRPr="009C3772">
        <w:rPr>
          <w:rFonts w:ascii="Times New Roman" w:hAnsi="Times New Roman" w:cs="Times New Roman"/>
        </w:rPr>
        <w:t xml:space="preserve">1. BRASIL. Decreto n. </w:t>
      </w:r>
      <w:r>
        <w:rPr>
          <w:rFonts w:ascii="Times New Roman" w:hAnsi="Times New Roman" w:cs="Times New Roman"/>
        </w:rPr>
        <w:t>7.983/2013</w:t>
      </w:r>
      <w:r w:rsidRPr="009C3772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>8</w:t>
      </w:r>
      <w:r w:rsidRPr="009C377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abr</w:t>
      </w:r>
      <w:r w:rsidRPr="009C3772">
        <w:rPr>
          <w:rFonts w:ascii="Times New Roman" w:hAnsi="Times New Roman" w:cs="Times New Roman"/>
        </w:rPr>
        <w:t>. de 201</w:t>
      </w:r>
      <w:r>
        <w:rPr>
          <w:rFonts w:ascii="Times New Roman" w:hAnsi="Times New Roman" w:cs="Times New Roman"/>
        </w:rPr>
        <w:t>3</w:t>
      </w:r>
      <w:r w:rsidRPr="009C3772">
        <w:rPr>
          <w:rFonts w:ascii="Times New Roman" w:hAnsi="Times New Roman" w:cs="Times New Roman"/>
        </w:rPr>
        <w:t xml:space="preserve">. </w:t>
      </w:r>
      <w:r w:rsidRPr="009C3772">
        <w:rPr>
          <w:rFonts w:ascii="Times New Roman" w:hAnsi="Times New Roman" w:cs="Times New Roman"/>
          <w:i/>
        </w:rPr>
        <w:t>Estabelece regras e critérios para elaboração do orçamento de referência de obras e serviços de engenharia, contratados e executados com recursos dos orçamentos da União, e dá outras</w:t>
      </w:r>
      <w:r w:rsidRPr="009C3772">
        <w:rPr>
          <w:rFonts w:ascii="Times New Roman" w:hAnsi="Times New Roman" w:cs="Times New Roman"/>
        </w:rPr>
        <w:t>, Brasília,</w:t>
      </w:r>
      <w:r>
        <w:rPr>
          <w:rFonts w:ascii="Times New Roman" w:hAnsi="Times New Roman" w:cs="Times New Roman"/>
        </w:rPr>
        <w:t xml:space="preserve"> </w:t>
      </w:r>
      <w:r w:rsidRPr="009C3772">
        <w:rPr>
          <w:rFonts w:ascii="Times New Roman" w:hAnsi="Times New Roman" w:cs="Times New Roman"/>
        </w:rPr>
        <w:t xml:space="preserve">DF, </w:t>
      </w:r>
      <w:r>
        <w:rPr>
          <w:rFonts w:ascii="Times New Roman" w:hAnsi="Times New Roman" w:cs="Times New Roman"/>
        </w:rPr>
        <w:t>abr</w:t>
      </w:r>
      <w:r w:rsidRPr="009C377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3. </w:t>
      </w:r>
    </w:p>
    <w:p w:rsidR="009C3772" w:rsidRPr="009C3772" w:rsidRDefault="009C3772" w:rsidP="009C3772">
      <w:pPr>
        <w:pStyle w:val="Textodenotaderoda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C3772">
        <w:rPr>
          <w:rFonts w:ascii="Times New Roman" w:hAnsi="Times New Roman" w:cs="Times New Roman"/>
        </w:rPr>
        <w:t xml:space="preserve">TRIOLA, Mario F. </w:t>
      </w:r>
      <w:r w:rsidRPr="009C3772">
        <w:rPr>
          <w:rFonts w:ascii="Times New Roman" w:hAnsi="Times New Roman" w:cs="Times New Roman"/>
          <w:i/>
        </w:rPr>
        <w:t>Introdução à Estatística – Atualização da Tecnologia</w:t>
      </w:r>
      <w:r w:rsidRPr="009C3772">
        <w:rPr>
          <w:rFonts w:ascii="Times New Roman" w:hAnsi="Times New Roman" w:cs="Times New Roman"/>
        </w:rPr>
        <w:t>, Rio de Janeiro, 11ª Editora LTC, 2015</w:t>
      </w:r>
      <w:r>
        <w:rPr>
          <w:rFonts w:ascii="Times New Roman" w:hAnsi="Times New Roman" w:cs="Times New Roman"/>
        </w:rPr>
        <w:t>.</w:t>
      </w:r>
    </w:p>
    <w:p w:rsidR="009C3772" w:rsidRDefault="009C3772" w:rsidP="009C3772">
      <w:pPr>
        <w:pStyle w:val="Textodenotaderoda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C3772">
        <w:rPr>
          <w:rStyle w:val="Refdenotaderodap"/>
          <w:rFonts w:ascii="Times New Roman" w:hAnsi="Times New Roman" w:cs="Times New Roman"/>
          <w:vertAlign w:val="baseline"/>
        </w:rPr>
        <w:t xml:space="preserve"> </w:t>
      </w:r>
      <w:r w:rsidRPr="009C3772">
        <w:rPr>
          <w:rFonts w:ascii="Times New Roman" w:hAnsi="Times New Roman" w:cs="Times New Roman"/>
        </w:rPr>
        <w:t xml:space="preserve">SILVA FILHO, Laércio de Oliveira e; LIMA, Marcos Cavalcanti; MACIELl, Rafael Gonçalves – </w:t>
      </w:r>
      <w:r w:rsidRPr="009C3772">
        <w:rPr>
          <w:rFonts w:ascii="Times New Roman" w:hAnsi="Times New Roman" w:cs="Times New Roman"/>
          <w:i/>
        </w:rPr>
        <w:t>Efeito barganha e cotação: fenômenos que permitem a ocorrência de superfaturamento com preços inferiores às referências oficiais</w:t>
      </w:r>
      <w:r w:rsidRPr="009C3772">
        <w:rPr>
          <w:rFonts w:ascii="Times New Roman" w:hAnsi="Times New Roman" w:cs="Times New Roman"/>
        </w:rPr>
        <w:t xml:space="preserve"> – Revista Perícia Federal. ano 13. nº 29, 2012.</w:t>
      </w:r>
    </w:p>
    <w:p w:rsidR="009C3772" w:rsidRPr="009C3772" w:rsidRDefault="009C3772" w:rsidP="009C3772">
      <w:pPr>
        <w:pStyle w:val="Textodenotaderoda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C3772">
        <w:rPr>
          <w:rFonts w:ascii="Times New Roman" w:hAnsi="Times New Roman" w:cs="Times New Roman"/>
        </w:rPr>
        <w:t xml:space="preserve">TRIBUNAL DE CONTAS DA UNIÃO. </w:t>
      </w:r>
      <w:r w:rsidRPr="009C3772">
        <w:rPr>
          <w:rFonts w:ascii="Times New Roman" w:hAnsi="Times New Roman" w:cs="Times New Roman"/>
          <w:i/>
        </w:rPr>
        <w:t>Acórdão 2984/2013</w:t>
      </w:r>
      <w:r w:rsidRPr="009C3772">
        <w:rPr>
          <w:rFonts w:ascii="Times New Roman" w:hAnsi="Times New Roman" w:cs="Times New Roman"/>
        </w:rPr>
        <w:t xml:space="preserve"> – Plenário. Disponível em https://tcu.jusbrasil.com.br/jurisprudencia/315744841/1726020124/inteiro-teor-315744969?ref=juris-tabs#. Acesso em 15/07/2017</w:t>
      </w:r>
      <w:r w:rsidR="002872AA">
        <w:rPr>
          <w:rFonts w:ascii="Times New Roman" w:hAnsi="Times New Roman" w:cs="Times New Roman"/>
        </w:rPr>
        <w:t>.</w:t>
      </w:r>
    </w:p>
    <w:p w:rsidR="000810F9" w:rsidRPr="00111B01" w:rsidRDefault="000810F9" w:rsidP="00111B01">
      <w:pPr>
        <w:spacing w:after="0" w:line="240" w:lineRule="auto"/>
        <w:rPr>
          <w:rFonts w:ascii="Times New Roman" w:hAnsi="Times New Roman" w:cs="Times New Roman"/>
        </w:rPr>
      </w:pPr>
    </w:p>
    <w:sectPr w:rsidR="000810F9" w:rsidRPr="00111B01" w:rsidSect="00F50290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E3" w:rsidRDefault="00A003E3" w:rsidP="00B81CD3">
      <w:pPr>
        <w:spacing w:after="0" w:line="240" w:lineRule="auto"/>
      </w:pPr>
      <w:r>
        <w:separator/>
      </w:r>
    </w:p>
  </w:endnote>
  <w:endnote w:type="continuationSeparator" w:id="0">
    <w:p w:rsidR="00A003E3" w:rsidRDefault="00A003E3" w:rsidP="00B8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79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A14D6" w:rsidRPr="00BA14D6" w:rsidRDefault="00BA14D6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A14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14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14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FE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14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14D6" w:rsidRDefault="00BA14D6" w:rsidP="00BA14D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E3" w:rsidRDefault="00A003E3" w:rsidP="00B81CD3">
      <w:pPr>
        <w:spacing w:after="0" w:line="240" w:lineRule="auto"/>
      </w:pPr>
      <w:r>
        <w:separator/>
      </w:r>
    </w:p>
  </w:footnote>
  <w:footnote w:type="continuationSeparator" w:id="0">
    <w:p w:rsidR="00A003E3" w:rsidRDefault="00A003E3" w:rsidP="00B8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AA" w:rsidRPr="002872AA" w:rsidRDefault="002872AA" w:rsidP="002872AA">
    <w:pPr>
      <w:pStyle w:val="Cabealho"/>
      <w:jc w:val="center"/>
      <w:rPr>
        <w:rFonts w:ascii="Times New Roman" w:hAnsi="Times New Roman" w:cs="Times New Roman"/>
        <w:bCs/>
      </w:rPr>
    </w:pPr>
    <w:r w:rsidRPr="002872AA">
      <w:rPr>
        <w:rFonts w:ascii="Times New Roman" w:hAnsi="Times New Roman" w:cs="Times New Roman"/>
        <w:bCs/>
      </w:rPr>
      <w:t>XXIV Congresso Nacional de Criminalística, VII Congresso Internacional de Perícia Criminal e</w:t>
    </w:r>
  </w:p>
  <w:p w:rsidR="002872AA" w:rsidRPr="002872AA" w:rsidRDefault="002872AA" w:rsidP="002872AA">
    <w:pPr>
      <w:pStyle w:val="Cabealho"/>
      <w:jc w:val="center"/>
      <w:rPr>
        <w:rFonts w:ascii="Times New Roman" w:hAnsi="Times New Roman" w:cs="Times New Roman"/>
        <w:bCs/>
      </w:rPr>
    </w:pPr>
    <w:r w:rsidRPr="002872AA">
      <w:rPr>
        <w:rFonts w:ascii="Times New Roman" w:hAnsi="Times New Roman" w:cs="Times New Roman"/>
        <w:bCs/>
      </w:rPr>
      <w:t>XXIV Exposição de Tecnologias Aplicadas à Criminalística</w:t>
    </w:r>
  </w:p>
  <w:p w:rsidR="002872AA" w:rsidRDefault="002872AA" w:rsidP="002872AA">
    <w:pPr>
      <w:pStyle w:val="Cabealho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2872AA">
      <w:rPr>
        <w:rFonts w:ascii="Times New Roman" w:hAnsi="Times New Roman" w:cs="Times New Roman"/>
        <w:bCs/>
        <w:i/>
        <w:sz w:val="20"/>
        <w:szCs w:val="20"/>
      </w:rPr>
      <w:t>Florianópolis-SC, 02 a 06 de outubro de 2017.</w:t>
    </w:r>
  </w:p>
  <w:p w:rsidR="002872AA" w:rsidRPr="002872AA" w:rsidRDefault="002872AA" w:rsidP="002872AA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9"/>
    <w:rsid w:val="00021D1D"/>
    <w:rsid w:val="000810F9"/>
    <w:rsid w:val="00111B01"/>
    <w:rsid w:val="00164B30"/>
    <w:rsid w:val="001A559A"/>
    <w:rsid w:val="001A71F1"/>
    <w:rsid w:val="001B5F4A"/>
    <w:rsid w:val="002872AA"/>
    <w:rsid w:val="002D20B5"/>
    <w:rsid w:val="003141CB"/>
    <w:rsid w:val="00383B03"/>
    <w:rsid w:val="004614D8"/>
    <w:rsid w:val="00473381"/>
    <w:rsid w:val="004757AE"/>
    <w:rsid w:val="004C342F"/>
    <w:rsid w:val="005109EB"/>
    <w:rsid w:val="005B4FE1"/>
    <w:rsid w:val="005D5165"/>
    <w:rsid w:val="00605016"/>
    <w:rsid w:val="00631EF8"/>
    <w:rsid w:val="006F13C8"/>
    <w:rsid w:val="007049D2"/>
    <w:rsid w:val="00740830"/>
    <w:rsid w:val="00787F42"/>
    <w:rsid w:val="008437E0"/>
    <w:rsid w:val="00847416"/>
    <w:rsid w:val="008C2221"/>
    <w:rsid w:val="009018AC"/>
    <w:rsid w:val="00917056"/>
    <w:rsid w:val="009C3772"/>
    <w:rsid w:val="00A003E3"/>
    <w:rsid w:val="00A435C2"/>
    <w:rsid w:val="00A4444A"/>
    <w:rsid w:val="00A65A46"/>
    <w:rsid w:val="00A93235"/>
    <w:rsid w:val="00AE26C9"/>
    <w:rsid w:val="00B119BD"/>
    <w:rsid w:val="00B81CD3"/>
    <w:rsid w:val="00BA14D6"/>
    <w:rsid w:val="00BF2983"/>
    <w:rsid w:val="00E836A9"/>
    <w:rsid w:val="00F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81C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1CD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81CD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B0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F2983"/>
    <w:rPr>
      <w:color w:val="808080"/>
    </w:rPr>
  </w:style>
  <w:style w:type="table" w:styleId="Tabelacomgrade">
    <w:name w:val="Table Grid"/>
    <w:basedOn w:val="Tabelanormal"/>
    <w:uiPriority w:val="59"/>
    <w:rsid w:val="00F5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link w:val="Nivel1Char"/>
    <w:qFormat/>
    <w:rsid w:val="009C3772"/>
    <w:pPr>
      <w:keepLines w:val="0"/>
      <w:tabs>
        <w:tab w:val="left" w:pos="5940"/>
      </w:tabs>
      <w:spacing w:before="0" w:line="36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t-BR"/>
    </w:rPr>
  </w:style>
  <w:style w:type="character" w:customStyle="1" w:styleId="Nivel1Char">
    <w:name w:val="Nivel1 Char"/>
    <w:basedOn w:val="Ttulo1Char"/>
    <w:link w:val="Nivel1"/>
    <w:rsid w:val="009C3772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C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87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2AA"/>
  </w:style>
  <w:style w:type="paragraph" w:styleId="Rodap">
    <w:name w:val="footer"/>
    <w:basedOn w:val="Normal"/>
    <w:link w:val="RodapChar"/>
    <w:uiPriority w:val="99"/>
    <w:unhideWhenUsed/>
    <w:rsid w:val="00287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81C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1CD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81CD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B0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F2983"/>
    <w:rPr>
      <w:color w:val="808080"/>
    </w:rPr>
  </w:style>
  <w:style w:type="table" w:styleId="Tabelacomgrade">
    <w:name w:val="Table Grid"/>
    <w:basedOn w:val="Tabelanormal"/>
    <w:uiPriority w:val="59"/>
    <w:rsid w:val="00F5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link w:val="Nivel1Char"/>
    <w:qFormat/>
    <w:rsid w:val="009C3772"/>
    <w:pPr>
      <w:keepLines w:val="0"/>
      <w:tabs>
        <w:tab w:val="left" w:pos="5940"/>
      </w:tabs>
      <w:spacing w:before="0" w:line="36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t-BR"/>
    </w:rPr>
  </w:style>
  <w:style w:type="character" w:customStyle="1" w:styleId="Nivel1Char">
    <w:name w:val="Nivel1 Char"/>
    <w:basedOn w:val="Ttulo1Char"/>
    <w:link w:val="Nivel1"/>
    <w:rsid w:val="009C3772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C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87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2AA"/>
  </w:style>
  <w:style w:type="paragraph" w:styleId="Rodap">
    <w:name w:val="footer"/>
    <w:basedOn w:val="Normal"/>
    <w:link w:val="RodapChar"/>
    <w:uiPriority w:val="99"/>
    <w:unhideWhenUsed/>
    <w:rsid w:val="00287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Attitude 3</cp:lastModifiedBy>
  <cp:revision>2</cp:revision>
  <dcterms:created xsi:type="dcterms:W3CDTF">2017-07-20T14:28:00Z</dcterms:created>
  <dcterms:modified xsi:type="dcterms:W3CDTF">2017-07-20T14:28:00Z</dcterms:modified>
</cp:coreProperties>
</file>