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18" w:rsidRPr="00813F18" w:rsidRDefault="00D23169" w:rsidP="00824730">
      <w:pPr>
        <w:spacing w:line="240" w:lineRule="auto"/>
        <w:jc w:val="center"/>
        <w:rPr>
          <w:b/>
        </w:rPr>
      </w:pPr>
      <w:r>
        <w:rPr>
          <w:b/>
        </w:rPr>
        <w:t>Bancada de testes de armas de fogo por acionamento remoto</w:t>
      </w:r>
    </w:p>
    <w:p w:rsidR="00595933" w:rsidRPr="00813F18" w:rsidRDefault="00595933" w:rsidP="00824730">
      <w:pPr>
        <w:spacing w:line="240" w:lineRule="auto"/>
        <w:jc w:val="left"/>
      </w:pPr>
    </w:p>
    <w:p w:rsidR="006B0CC4" w:rsidRPr="00FC71F5" w:rsidRDefault="006B0CC4" w:rsidP="00824730">
      <w:pPr>
        <w:spacing w:line="240" w:lineRule="auto"/>
        <w:jc w:val="center"/>
      </w:pPr>
      <w:bookmarkStart w:id="0" w:name="_GoBack"/>
      <w:bookmarkEnd w:id="0"/>
    </w:p>
    <w:p w:rsidR="00586805" w:rsidRPr="00586805" w:rsidRDefault="00C402D0" w:rsidP="00586805">
      <w:pPr>
        <w:spacing w:line="240" w:lineRule="auto"/>
        <w:ind w:firstLine="851"/>
        <w:rPr>
          <w:sz w:val="22"/>
          <w:szCs w:val="22"/>
        </w:rPr>
      </w:pPr>
      <w:r>
        <w:rPr>
          <w:sz w:val="22"/>
          <w:szCs w:val="22"/>
        </w:rPr>
        <w:t>Os peritos da Seção de Balística Forense d</w:t>
      </w:r>
      <w:r w:rsidR="00586805" w:rsidRPr="00586805">
        <w:rPr>
          <w:sz w:val="22"/>
          <w:szCs w:val="22"/>
        </w:rPr>
        <w:t>o Instituto de Criminalística da Polícia Civil do Distrito Federal</w:t>
      </w:r>
      <w:r w:rsidR="00171263">
        <w:rPr>
          <w:sz w:val="22"/>
          <w:szCs w:val="22"/>
        </w:rPr>
        <w:t xml:space="preserve"> (PCDF)</w:t>
      </w:r>
      <w:r w:rsidR="00586805" w:rsidRPr="00586805">
        <w:rPr>
          <w:sz w:val="22"/>
          <w:szCs w:val="22"/>
        </w:rPr>
        <w:t xml:space="preserve">, </w:t>
      </w:r>
      <w:r>
        <w:rPr>
          <w:sz w:val="22"/>
          <w:szCs w:val="22"/>
        </w:rPr>
        <w:t>realizam, dentre outros,</w:t>
      </w:r>
      <w:r w:rsidR="00586805" w:rsidRPr="00586805">
        <w:rPr>
          <w:sz w:val="22"/>
          <w:szCs w:val="22"/>
        </w:rPr>
        <w:t xml:space="preserve"> </w:t>
      </w:r>
      <w:r>
        <w:rPr>
          <w:sz w:val="22"/>
          <w:szCs w:val="22"/>
        </w:rPr>
        <w:t>testes em</w:t>
      </w:r>
      <w:r w:rsidR="00586805" w:rsidRPr="00586805">
        <w:rPr>
          <w:sz w:val="22"/>
          <w:szCs w:val="22"/>
        </w:rPr>
        <w:t xml:space="preserve"> armas de fogo e munições que são apreendidas</w:t>
      </w:r>
      <w:r>
        <w:rPr>
          <w:sz w:val="22"/>
          <w:szCs w:val="22"/>
        </w:rPr>
        <w:t xml:space="preserve"> relacionada à pratica de alguma infração penal</w:t>
      </w:r>
      <w:r w:rsidR="00586805" w:rsidRPr="00586805">
        <w:rPr>
          <w:sz w:val="22"/>
          <w:szCs w:val="22"/>
        </w:rPr>
        <w:t>. São realizados disparos em um tanque de água e em um tonel com areia e estopa com a intenção de obter informações relevantes para cada caso, como a eficiência da arma de fogo e munições apreendidas, e a recuperação de projétil para posterior c</w:t>
      </w:r>
      <w:r>
        <w:rPr>
          <w:sz w:val="22"/>
          <w:szCs w:val="22"/>
        </w:rPr>
        <w:t>onfronto balístico</w:t>
      </w:r>
      <w:r w:rsidR="00586805" w:rsidRPr="00586805">
        <w:rPr>
          <w:sz w:val="22"/>
          <w:szCs w:val="22"/>
        </w:rPr>
        <w:t>. Os testes são realizados manualmente pelos peritos</w:t>
      </w:r>
      <w:r>
        <w:rPr>
          <w:sz w:val="22"/>
          <w:szCs w:val="22"/>
        </w:rPr>
        <w:t xml:space="preserve"> criminais</w:t>
      </w:r>
      <w:r w:rsidR="00586805" w:rsidRPr="00586805">
        <w:rPr>
          <w:sz w:val="22"/>
          <w:szCs w:val="22"/>
        </w:rPr>
        <w:t xml:space="preserve"> tanto com a arma de fogo apreendida carregada </w:t>
      </w:r>
      <w:r>
        <w:rPr>
          <w:sz w:val="22"/>
          <w:szCs w:val="22"/>
        </w:rPr>
        <w:t>com munição própria, quanto</w:t>
      </w:r>
      <w:r w:rsidR="00586805" w:rsidRPr="00586805">
        <w:rPr>
          <w:sz w:val="22"/>
          <w:szCs w:val="22"/>
        </w:rPr>
        <w:t xml:space="preserve"> arma</w:t>
      </w:r>
      <w:r>
        <w:rPr>
          <w:sz w:val="22"/>
          <w:szCs w:val="22"/>
        </w:rPr>
        <w:t>s</w:t>
      </w:r>
      <w:r w:rsidR="00586805" w:rsidRPr="00586805">
        <w:rPr>
          <w:sz w:val="22"/>
          <w:szCs w:val="22"/>
        </w:rPr>
        <w:t xml:space="preserve"> </w:t>
      </w:r>
      <w:r>
        <w:rPr>
          <w:sz w:val="22"/>
          <w:szCs w:val="22"/>
        </w:rPr>
        <w:t>e</w:t>
      </w:r>
      <w:r w:rsidR="00586805" w:rsidRPr="00586805">
        <w:rPr>
          <w:sz w:val="22"/>
          <w:szCs w:val="22"/>
        </w:rPr>
        <w:t xml:space="preserve"> muniç</w:t>
      </w:r>
      <w:r>
        <w:rPr>
          <w:sz w:val="22"/>
          <w:szCs w:val="22"/>
        </w:rPr>
        <w:t>ões</w:t>
      </w:r>
      <w:r w:rsidR="00586805" w:rsidRPr="00586805">
        <w:rPr>
          <w:sz w:val="22"/>
          <w:szCs w:val="22"/>
        </w:rPr>
        <w:t xml:space="preserve"> apreendida</w:t>
      </w:r>
      <w:r>
        <w:rPr>
          <w:sz w:val="22"/>
          <w:szCs w:val="22"/>
        </w:rPr>
        <w:t>s separadamente</w:t>
      </w:r>
      <w:r w:rsidR="00586805" w:rsidRPr="00586805">
        <w:rPr>
          <w:sz w:val="22"/>
          <w:szCs w:val="22"/>
        </w:rPr>
        <w:t>.</w:t>
      </w:r>
    </w:p>
    <w:p w:rsidR="00586805" w:rsidRDefault="004E52A7" w:rsidP="00586805">
      <w:pPr>
        <w:spacing w:line="240" w:lineRule="auto"/>
        <w:ind w:firstLine="851"/>
        <w:rPr>
          <w:sz w:val="22"/>
          <w:szCs w:val="22"/>
        </w:rPr>
      </w:pPr>
      <w:r>
        <w:rPr>
          <w:noProof/>
        </w:rPr>
        <mc:AlternateContent>
          <mc:Choice Requires="wps">
            <w:drawing>
              <wp:anchor distT="0" distB="0" distL="114300" distR="114300" simplePos="0" relativeHeight="251663360" behindDoc="1" locked="0" layoutInCell="1" allowOverlap="1" wp14:anchorId="3CC8A121" wp14:editId="77DA339F">
                <wp:simplePos x="0" y="0"/>
                <wp:positionH relativeFrom="margin">
                  <wp:align>left</wp:align>
                </wp:positionH>
                <wp:positionV relativeFrom="paragraph">
                  <wp:posOffset>1900382</wp:posOffset>
                </wp:positionV>
                <wp:extent cx="3282950" cy="415290"/>
                <wp:effectExtent l="0" t="0" r="0" b="3810"/>
                <wp:wrapSquare wrapText="bothSides"/>
                <wp:docPr id="7" name="Caixa de texto 7"/>
                <wp:cNvGraphicFramePr/>
                <a:graphic xmlns:a="http://schemas.openxmlformats.org/drawingml/2006/main">
                  <a:graphicData uri="http://schemas.microsoft.com/office/word/2010/wordprocessingShape">
                    <wps:wsp>
                      <wps:cNvSpPr txBox="1"/>
                      <wps:spPr>
                        <a:xfrm>
                          <a:off x="0" y="0"/>
                          <a:ext cx="3283527"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683B" w:rsidRDefault="00A0683B" w:rsidP="00395324">
                            <w:pPr>
                              <w:spacing w:line="240" w:lineRule="auto"/>
                              <w:rPr>
                                <w:sz w:val="22"/>
                                <w:szCs w:val="22"/>
                              </w:rPr>
                            </w:pPr>
                            <w:r w:rsidRPr="00FC71F5">
                              <w:rPr>
                                <w:b/>
                                <w:sz w:val="22"/>
                                <w:szCs w:val="22"/>
                              </w:rPr>
                              <w:t>Figura 1.</w:t>
                            </w:r>
                            <w:r w:rsidRPr="00FC71F5">
                              <w:rPr>
                                <w:sz w:val="22"/>
                                <w:szCs w:val="22"/>
                              </w:rPr>
                              <w:t xml:space="preserve"> </w:t>
                            </w:r>
                            <w:r>
                              <w:rPr>
                                <w:sz w:val="22"/>
                                <w:szCs w:val="22"/>
                              </w:rPr>
                              <w:t>Regime de pressão (CHINN traduzida, 1955, p. 4)</w:t>
                            </w:r>
                            <w:r w:rsidRPr="00FC71F5">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C8A121" id="_x0000_t202" coordsize="21600,21600" o:spt="202" path="m,l,21600r21600,l21600,xe">
                <v:stroke joinstyle="miter"/>
                <v:path gradientshapeok="t" o:connecttype="rect"/>
              </v:shapetype>
              <v:shape id="Caixa de texto 7" o:spid="_x0000_s1026" type="#_x0000_t202" style="position:absolute;left:0;text-align:left;margin-left:0;margin-top:149.65pt;width:258.5pt;height:32.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" filled="f" stroked="f" strokeweight=".5pt">
                <v:textbox>
                  <w:txbxContent>
                    <w:p w:rsidR="00A0683B" w:rsidRDefault="00A0683B" w:rsidP="00395324">
                      <w:pPr>
                        <w:spacing w:line="240" w:lineRule="auto"/>
                        <w:rPr>
                          <w:sz w:val="22"/>
                          <w:szCs w:val="22"/>
                        </w:rPr>
                      </w:pPr>
                      <w:r w:rsidRPr="00FC71F5">
                        <w:rPr>
                          <w:b/>
                          <w:sz w:val="22"/>
                          <w:szCs w:val="22"/>
                        </w:rPr>
                        <w:t>Figura 1.</w:t>
                      </w:r>
                      <w:r w:rsidRPr="00FC71F5">
                        <w:rPr>
                          <w:sz w:val="22"/>
                          <w:szCs w:val="22"/>
                        </w:rPr>
                        <w:t xml:space="preserve"> </w:t>
                      </w:r>
                      <w:r>
                        <w:rPr>
                          <w:sz w:val="22"/>
                          <w:szCs w:val="22"/>
                        </w:rPr>
                        <w:t>Regime de pressão (CHINN traduzida, 1955, p. 4)</w:t>
                      </w:r>
                      <w:r w:rsidRPr="00FC71F5">
                        <w:rPr>
                          <w:sz w:val="22"/>
                          <w:szCs w:val="22"/>
                        </w:rPr>
                        <w:t>.</w:t>
                      </w:r>
                    </w:p>
                  </w:txbxContent>
                </v:textbox>
                <w10:wrap type="square" anchorx="margin"/>
              </v:shape>
            </w:pict>
          </mc:Fallback>
        </mc:AlternateContent>
      </w:r>
      <w:r>
        <w:rPr>
          <w:noProof/>
        </w:rPr>
        <w:drawing>
          <wp:anchor distT="0" distB="0" distL="114300" distR="114300" simplePos="0" relativeHeight="251662336" behindDoc="1" locked="0" layoutInCell="1" allowOverlap="1" wp14:anchorId="402F0CB6" wp14:editId="680770F1">
            <wp:simplePos x="0" y="0"/>
            <wp:positionH relativeFrom="margin">
              <wp:align>left</wp:align>
            </wp:positionH>
            <wp:positionV relativeFrom="paragraph">
              <wp:posOffset>48046</wp:posOffset>
            </wp:positionV>
            <wp:extent cx="3318510" cy="1870075"/>
            <wp:effectExtent l="0" t="0" r="0" b="0"/>
            <wp:wrapTight wrapText="bothSides">
              <wp:wrapPolygon edited="0">
                <wp:start x="0" y="0"/>
                <wp:lineTo x="0" y="21343"/>
                <wp:lineTo x="21451" y="21343"/>
                <wp:lineTo x="21451" y="0"/>
                <wp:lineTo x="0" y="0"/>
              </wp:wrapPolygon>
            </wp:wrapTight>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408830" cy="1921128"/>
                    </a:xfrm>
                    <a:prstGeom prst="rect">
                      <a:avLst/>
                    </a:prstGeom>
                    <a:ln/>
                  </pic:spPr>
                </pic:pic>
              </a:graphicData>
            </a:graphic>
            <wp14:sizeRelH relativeFrom="page">
              <wp14:pctWidth>0</wp14:pctWidth>
            </wp14:sizeRelH>
            <wp14:sizeRelV relativeFrom="page">
              <wp14:pctHeight>0</wp14:pctHeight>
            </wp14:sizeRelV>
          </wp:anchor>
        </w:drawing>
      </w:r>
      <w:r w:rsidR="00123C40">
        <w:rPr>
          <w:sz w:val="22"/>
          <w:szCs w:val="22"/>
        </w:rPr>
        <w:t>A arma de fogo durante o</w:t>
      </w:r>
      <w:r w:rsidR="00586805" w:rsidRPr="00586805">
        <w:rPr>
          <w:sz w:val="22"/>
          <w:szCs w:val="22"/>
        </w:rPr>
        <w:t xml:space="preserve"> proces</w:t>
      </w:r>
      <w:r w:rsidR="00123C40">
        <w:rPr>
          <w:sz w:val="22"/>
          <w:szCs w:val="22"/>
        </w:rPr>
        <w:t>so de um tiro pode ser comparada</w:t>
      </w:r>
      <w:r w:rsidR="00586805" w:rsidRPr="00586805">
        <w:rPr>
          <w:sz w:val="22"/>
          <w:szCs w:val="22"/>
        </w:rPr>
        <w:t xml:space="preserve"> a uma máquina térmica, </w:t>
      </w:r>
      <w:r w:rsidR="00123C40">
        <w:rPr>
          <w:sz w:val="22"/>
          <w:szCs w:val="22"/>
        </w:rPr>
        <w:t xml:space="preserve">como </w:t>
      </w:r>
      <w:r w:rsidR="00586805" w:rsidRPr="00586805">
        <w:rPr>
          <w:sz w:val="22"/>
          <w:szCs w:val="22"/>
        </w:rPr>
        <w:t>um motor de combustão interna por exemplo, e, como em toda combustão confinada, o regime de pressão é de grande importância para a análise de riscos. A Figura 1 (CHINN, 1955) mostra um gráfico da pressão dentro da alma do cano pelo decorrer do tempo de uma arma calibre 20 mm, considerando a velocidade do projétil de 2750 fps (838,2 m/s), massa do projétil de 0,29 lb (0,131 kg), massa de pólvora de 0,07 lb (0,031 kg) e comprimento do cano de 4,3 ft (1,31 m), e, assim, pode-se visualizar o regime de pressão durante um tiro. O calibre 20 mm é utilizado em canhões antiaéreos e antitanque, e, por isso, geram valores substancialmente altos, mas a física da questão é igual para armas de porte.</w:t>
      </w:r>
    </w:p>
    <w:p w:rsidR="00586805" w:rsidRPr="00586805" w:rsidRDefault="00586805" w:rsidP="00A0683B">
      <w:pPr>
        <w:spacing w:line="240" w:lineRule="auto"/>
        <w:ind w:firstLine="851"/>
        <w:rPr>
          <w:sz w:val="22"/>
          <w:szCs w:val="22"/>
        </w:rPr>
      </w:pPr>
      <w:r w:rsidRPr="00586805">
        <w:rPr>
          <w:sz w:val="22"/>
          <w:szCs w:val="22"/>
        </w:rPr>
        <w:t>A pressão máxima alcançada de 310 MPa (45000 psi) é aplicada a uma área de 0,00065 m</w:t>
      </w:r>
      <w:r w:rsidRPr="00586805">
        <w:rPr>
          <w:sz w:val="22"/>
          <w:szCs w:val="22"/>
          <w:vertAlign w:val="superscript"/>
        </w:rPr>
        <w:t>2</w:t>
      </w:r>
      <w:r w:rsidRPr="00586805">
        <w:rPr>
          <w:sz w:val="22"/>
          <w:szCs w:val="22"/>
        </w:rPr>
        <w:t xml:space="preserve"> (0,5 in</w:t>
      </w:r>
      <w:r w:rsidRPr="00586805">
        <w:rPr>
          <w:sz w:val="22"/>
          <w:szCs w:val="22"/>
          <w:vertAlign w:val="superscript"/>
        </w:rPr>
        <w:t>2</w:t>
      </w:r>
      <w:r w:rsidRPr="00586805">
        <w:rPr>
          <w:sz w:val="22"/>
          <w:szCs w:val="22"/>
        </w:rPr>
        <w:t>) produzindo uma força de 201500 N. Logo, é possível perceber que qualquer falha</w:t>
      </w:r>
      <w:r w:rsidR="002F613D">
        <w:rPr>
          <w:sz w:val="22"/>
          <w:szCs w:val="22"/>
        </w:rPr>
        <w:t xml:space="preserve"> na arma de fogo ou munição pode gerar um</w:t>
      </w:r>
      <w:r w:rsidRPr="00586805">
        <w:rPr>
          <w:sz w:val="22"/>
          <w:szCs w:val="22"/>
        </w:rPr>
        <w:t xml:space="preserve"> acidente</w:t>
      </w:r>
      <w:r w:rsidR="002F613D">
        <w:rPr>
          <w:sz w:val="22"/>
          <w:szCs w:val="22"/>
        </w:rPr>
        <w:t xml:space="preserve"> catastrófico</w:t>
      </w:r>
      <w:r w:rsidRPr="00586805">
        <w:rPr>
          <w:sz w:val="22"/>
          <w:szCs w:val="22"/>
        </w:rPr>
        <w:t>.</w:t>
      </w:r>
    </w:p>
    <w:p w:rsidR="00586805" w:rsidRPr="00586805" w:rsidRDefault="00586805" w:rsidP="00586805">
      <w:pPr>
        <w:spacing w:line="240" w:lineRule="auto"/>
        <w:ind w:firstLine="851"/>
        <w:rPr>
          <w:sz w:val="22"/>
          <w:szCs w:val="22"/>
        </w:rPr>
      </w:pPr>
      <w:r w:rsidRPr="00586805">
        <w:rPr>
          <w:sz w:val="22"/>
          <w:szCs w:val="22"/>
        </w:rPr>
        <w:t>Assim, quando a integridade da arma de fogo ou munição é duvidosa, é mais seguro que os testes não sejam realizados presencialmente. Isso pode acontecer quando a quantidade de pólvora foi adulterada dentro do cartucho de munição, ou, quando a arma de fogo tem algum defeito de fabricação ou de manutenção</w:t>
      </w:r>
      <w:r w:rsidR="00A47D2C">
        <w:rPr>
          <w:sz w:val="22"/>
          <w:szCs w:val="22"/>
        </w:rPr>
        <w:t xml:space="preserve"> (que demonstrem comprometimento da estrutura do artefato)</w:t>
      </w:r>
      <w:r w:rsidRPr="00586805">
        <w:rPr>
          <w:sz w:val="22"/>
          <w:szCs w:val="22"/>
        </w:rPr>
        <w:t xml:space="preserve">, podendo até </w:t>
      </w:r>
      <w:r w:rsidR="00A47D2C">
        <w:rPr>
          <w:sz w:val="22"/>
          <w:szCs w:val="22"/>
        </w:rPr>
        <w:t>mesmo arma e munição terem</w:t>
      </w:r>
      <w:r w:rsidRPr="00586805">
        <w:rPr>
          <w:sz w:val="22"/>
          <w:szCs w:val="22"/>
        </w:rPr>
        <w:t xml:space="preserve"> sido fabricados artesanalmente.</w:t>
      </w:r>
    </w:p>
    <w:p w:rsidR="008763EC" w:rsidRDefault="00586805" w:rsidP="00586805">
      <w:pPr>
        <w:spacing w:line="240" w:lineRule="auto"/>
        <w:ind w:firstLine="851"/>
        <w:rPr>
          <w:sz w:val="22"/>
          <w:szCs w:val="22"/>
        </w:rPr>
      </w:pPr>
      <w:r w:rsidRPr="00586805">
        <w:rPr>
          <w:sz w:val="22"/>
          <w:szCs w:val="22"/>
        </w:rPr>
        <w:t>Portanto, o objetivo deste trabalho foi obter o projeto de uma bancada de testes para armas de fogo, que permita acionamento remoto do gatilho</w:t>
      </w:r>
      <w:r w:rsidR="00A47D2C">
        <w:rPr>
          <w:sz w:val="22"/>
          <w:szCs w:val="22"/>
        </w:rPr>
        <w:t xml:space="preserve"> e consequente realização do tiro</w:t>
      </w:r>
      <w:r w:rsidRPr="00586805">
        <w:rPr>
          <w:sz w:val="22"/>
          <w:szCs w:val="22"/>
        </w:rPr>
        <w:t>. A bancada de testes deveria ser universal, para comportar qualquer arma de fogo e ser utilizada em qualquer sala de teste. O presente trabalho apresenta a contextualização do problema, motivando e justificando a sua relevância, e o projeto em si. Este segundo, foi dividido em 4 etapas, assim como é descrito por COLLINS (2015) na elaboração de um projeto de máquina.</w:t>
      </w:r>
    </w:p>
    <w:p w:rsidR="00A72023" w:rsidRDefault="00586805" w:rsidP="00586805">
      <w:pPr>
        <w:spacing w:line="240" w:lineRule="auto"/>
        <w:ind w:firstLine="851"/>
        <w:rPr>
          <w:sz w:val="22"/>
          <w:szCs w:val="22"/>
        </w:rPr>
      </w:pPr>
      <w:r w:rsidRPr="00586805">
        <w:rPr>
          <w:sz w:val="22"/>
          <w:szCs w:val="22"/>
        </w:rPr>
        <w:t>A primeira etapa</w:t>
      </w:r>
      <w:r w:rsidR="005971B4">
        <w:rPr>
          <w:sz w:val="22"/>
          <w:szCs w:val="22"/>
        </w:rPr>
        <w:t xml:space="preserve"> de projeto</w:t>
      </w:r>
      <w:r w:rsidRPr="00586805">
        <w:rPr>
          <w:sz w:val="22"/>
          <w:szCs w:val="22"/>
        </w:rPr>
        <w:t xml:space="preserve"> foi a análise de alternativas e decisões, esta parte é chamada de projeto preliminar. Nela, definiram-se todos os parâmetros e necessidades</w:t>
      </w:r>
      <w:r w:rsidR="008763EC">
        <w:rPr>
          <w:sz w:val="22"/>
          <w:szCs w:val="22"/>
        </w:rPr>
        <w:t>, dentre eles, que sua estrutura seria feita de tubos quadrados de aço estrutural e que suas dimensões deveriam ser compatíveis com a sala de testes da Seção de Balística Forense</w:t>
      </w:r>
      <w:r w:rsidR="00171263">
        <w:rPr>
          <w:sz w:val="22"/>
          <w:szCs w:val="22"/>
        </w:rPr>
        <w:t xml:space="preserve"> da PCDF</w:t>
      </w:r>
      <w:r w:rsidR="005971B4">
        <w:rPr>
          <w:sz w:val="22"/>
          <w:szCs w:val="22"/>
        </w:rPr>
        <w:t xml:space="preserve"> para</w:t>
      </w:r>
      <w:r w:rsidR="00A47D2C">
        <w:rPr>
          <w:sz w:val="22"/>
          <w:szCs w:val="22"/>
        </w:rPr>
        <w:t xml:space="preserve"> suportar</w:t>
      </w:r>
      <w:r w:rsidR="005971B4">
        <w:rPr>
          <w:sz w:val="22"/>
          <w:szCs w:val="22"/>
        </w:rPr>
        <w:t xml:space="preserve">, no máximo, </w:t>
      </w:r>
      <w:r w:rsidR="00171263">
        <w:rPr>
          <w:sz w:val="22"/>
          <w:szCs w:val="22"/>
        </w:rPr>
        <w:t>um rifle Barrett M107A1, e que o acionamento remoto seria feito por uma placa de radiofrequência em conjunto com um solenoide</w:t>
      </w:r>
      <w:r w:rsidR="00A72023">
        <w:rPr>
          <w:sz w:val="22"/>
          <w:szCs w:val="22"/>
        </w:rPr>
        <w:t>, como mostrado na Figura 2</w:t>
      </w:r>
      <w:r w:rsidRPr="00586805">
        <w:rPr>
          <w:sz w:val="22"/>
          <w:szCs w:val="22"/>
        </w:rPr>
        <w:t xml:space="preserve">. </w:t>
      </w: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A47D2C" w:rsidP="00A72023">
      <w:pPr>
        <w:spacing w:line="240" w:lineRule="auto"/>
        <w:ind w:firstLine="851"/>
        <w:rPr>
          <w:b/>
          <w:sz w:val="22"/>
          <w:szCs w:val="22"/>
        </w:rPr>
      </w:pPr>
    </w:p>
    <w:p w:rsidR="00A47D2C" w:rsidRDefault="004E52A7" w:rsidP="00A72023">
      <w:pPr>
        <w:spacing w:line="240" w:lineRule="auto"/>
        <w:ind w:firstLine="851"/>
        <w:rPr>
          <w:b/>
          <w:sz w:val="22"/>
          <w:szCs w:val="22"/>
        </w:rPr>
      </w:pPr>
      <w:r>
        <w:rPr>
          <w:noProof/>
          <w:sz w:val="22"/>
          <w:szCs w:val="22"/>
        </w:rPr>
        <w:drawing>
          <wp:anchor distT="0" distB="0" distL="114300" distR="114300" simplePos="0" relativeHeight="251659264" behindDoc="0" locked="0" layoutInCell="1" allowOverlap="1" wp14:anchorId="35C593DF" wp14:editId="77C69F8F">
            <wp:simplePos x="0" y="0"/>
            <wp:positionH relativeFrom="margin">
              <wp:align>center</wp:align>
            </wp:positionH>
            <wp:positionV relativeFrom="paragraph">
              <wp:posOffset>6292</wp:posOffset>
            </wp:positionV>
            <wp:extent cx="5664200" cy="170307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cada Açotec.png"/>
                    <pic:cNvPicPr/>
                  </pic:nvPicPr>
                  <pic:blipFill>
                    <a:blip r:embed="rId10">
                      <a:extLst>
                        <a:ext uri="{28A0092B-C50C-407E-A947-70E740481C1C}">
                          <a14:useLocalDpi xmlns:a14="http://schemas.microsoft.com/office/drawing/2010/main" val="0"/>
                        </a:ext>
                      </a:extLst>
                    </a:blip>
                    <a:stretch>
                      <a:fillRect/>
                    </a:stretch>
                  </pic:blipFill>
                  <pic:spPr>
                    <a:xfrm>
                      <a:off x="0" y="0"/>
                      <a:ext cx="5664200" cy="1703070"/>
                    </a:xfrm>
                    <a:prstGeom prst="rect">
                      <a:avLst/>
                    </a:prstGeom>
                  </pic:spPr>
                </pic:pic>
              </a:graphicData>
            </a:graphic>
            <wp14:sizeRelH relativeFrom="page">
              <wp14:pctWidth>0</wp14:pctWidth>
            </wp14:sizeRelH>
            <wp14:sizeRelV relativeFrom="page">
              <wp14:pctHeight>0</wp14:pctHeight>
            </wp14:sizeRelV>
          </wp:anchor>
        </w:drawing>
      </w: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4E52A7" w:rsidRDefault="004E52A7" w:rsidP="00A72023">
      <w:pPr>
        <w:spacing w:line="240" w:lineRule="auto"/>
        <w:ind w:firstLine="851"/>
        <w:rPr>
          <w:b/>
          <w:sz w:val="22"/>
          <w:szCs w:val="22"/>
        </w:rPr>
      </w:pPr>
    </w:p>
    <w:p w:rsidR="00A72023" w:rsidRDefault="00A72023" w:rsidP="00A72023">
      <w:pPr>
        <w:spacing w:line="240" w:lineRule="auto"/>
        <w:ind w:firstLine="851"/>
        <w:rPr>
          <w:sz w:val="22"/>
          <w:szCs w:val="22"/>
        </w:rPr>
      </w:pPr>
      <w:r w:rsidRPr="00FC71F5">
        <w:rPr>
          <w:b/>
          <w:sz w:val="22"/>
          <w:szCs w:val="22"/>
        </w:rPr>
        <w:t xml:space="preserve">Figura </w:t>
      </w:r>
      <w:r>
        <w:rPr>
          <w:b/>
          <w:sz w:val="22"/>
          <w:szCs w:val="22"/>
        </w:rPr>
        <w:t>2</w:t>
      </w:r>
      <w:r w:rsidRPr="00FC71F5">
        <w:rPr>
          <w:b/>
          <w:sz w:val="22"/>
          <w:szCs w:val="22"/>
        </w:rPr>
        <w:t>.</w:t>
      </w:r>
      <w:r w:rsidRPr="00FC71F5">
        <w:rPr>
          <w:sz w:val="22"/>
          <w:szCs w:val="22"/>
        </w:rPr>
        <w:t xml:space="preserve"> </w:t>
      </w:r>
      <w:r>
        <w:rPr>
          <w:sz w:val="22"/>
          <w:szCs w:val="22"/>
        </w:rPr>
        <w:t>Esque</w:t>
      </w:r>
      <w:r w:rsidR="00CA2F41">
        <w:rPr>
          <w:sz w:val="22"/>
          <w:szCs w:val="22"/>
        </w:rPr>
        <w:t>rda: solenoide com eixo gatilho;</w:t>
      </w:r>
      <w:r>
        <w:rPr>
          <w:sz w:val="22"/>
          <w:szCs w:val="22"/>
        </w:rPr>
        <w:t xml:space="preserve"> </w:t>
      </w:r>
      <w:r w:rsidR="00CA2F41">
        <w:rPr>
          <w:sz w:val="22"/>
          <w:szCs w:val="22"/>
        </w:rPr>
        <w:t>Centro</w:t>
      </w:r>
      <w:r>
        <w:rPr>
          <w:sz w:val="22"/>
          <w:szCs w:val="22"/>
        </w:rPr>
        <w:t>: bancada de testes fabricada em aço estrutural</w:t>
      </w:r>
      <w:r w:rsidR="00CA2F41">
        <w:rPr>
          <w:sz w:val="22"/>
          <w:szCs w:val="22"/>
        </w:rPr>
        <w:t>; Direita: bancada montada.</w:t>
      </w:r>
    </w:p>
    <w:p w:rsidR="00F806A4" w:rsidRDefault="00586805" w:rsidP="00F806A4">
      <w:pPr>
        <w:spacing w:line="240" w:lineRule="auto"/>
        <w:ind w:firstLine="851"/>
        <w:rPr>
          <w:sz w:val="22"/>
          <w:szCs w:val="22"/>
        </w:rPr>
      </w:pPr>
      <w:r w:rsidRPr="00586805">
        <w:rPr>
          <w:sz w:val="22"/>
          <w:szCs w:val="22"/>
        </w:rPr>
        <w:t>A segunda etapa constituiu</w:t>
      </w:r>
      <w:r w:rsidR="004E52A7">
        <w:rPr>
          <w:sz w:val="22"/>
          <w:szCs w:val="22"/>
        </w:rPr>
        <w:t>-se</w:t>
      </w:r>
      <w:r w:rsidRPr="00586805">
        <w:rPr>
          <w:sz w:val="22"/>
          <w:szCs w:val="22"/>
        </w:rPr>
        <w:t xml:space="preserve"> </w:t>
      </w:r>
      <w:r w:rsidR="004E52A7">
        <w:rPr>
          <w:sz w:val="22"/>
          <w:szCs w:val="22"/>
        </w:rPr>
        <w:t>d</w:t>
      </w:r>
      <w:r w:rsidRPr="00586805">
        <w:rPr>
          <w:sz w:val="22"/>
          <w:szCs w:val="22"/>
        </w:rPr>
        <w:t xml:space="preserve">as seleções e dimensionamentos. Nesta seção, foram selecionados e dimensionados todos os componentes e sistemas da bancada de testes. O dimensionamento foi feito de acordo com a metodologia de cálculo disponível em COLLINS (2015) e baseado no critério de falha de escoamento. Esta parte do projeto é denominada projeto intermediário. </w:t>
      </w:r>
      <w:r w:rsidR="00A72023">
        <w:rPr>
          <w:sz w:val="22"/>
          <w:szCs w:val="22"/>
        </w:rPr>
        <w:t>Nela, foi definida as dimensões mínimas para os tubos quadrados de aço de acordo com o fator de segurança e critério de falha do projeto, e, assim, selecionou-se do catálogo do fabricante o material disponível.</w:t>
      </w:r>
      <w:r w:rsidR="00F806A4">
        <w:rPr>
          <w:sz w:val="22"/>
          <w:szCs w:val="22"/>
        </w:rPr>
        <w:t xml:space="preserve"> Toda a estrutura foi também desenhada com assistência do computador através do programa Solidworks</w:t>
      </w:r>
      <w:r w:rsidR="00CA2F41">
        <w:rPr>
          <w:sz w:val="22"/>
          <w:szCs w:val="22"/>
        </w:rPr>
        <w:t xml:space="preserve"> (Figura 3)</w:t>
      </w:r>
      <w:r w:rsidR="00F806A4">
        <w:rPr>
          <w:sz w:val="22"/>
          <w:szCs w:val="22"/>
        </w:rPr>
        <w:t>.</w:t>
      </w:r>
      <w:r w:rsidR="00A0683B">
        <w:rPr>
          <w:sz w:val="22"/>
          <w:szCs w:val="22"/>
        </w:rPr>
        <w:t xml:space="preserve"> A estrutura </w:t>
      </w:r>
      <w:r w:rsidR="00395324">
        <w:rPr>
          <w:sz w:val="22"/>
          <w:szCs w:val="22"/>
        </w:rPr>
        <w:t xml:space="preserve">que suporta a bancada de testes </w:t>
      </w:r>
      <w:r w:rsidR="00A0683B">
        <w:rPr>
          <w:sz w:val="22"/>
          <w:szCs w:val="22"/>
        </w:rPr>
        <w:t>consegue variar sua altura por meio de um sistema telescópico feito entre a torre inferior e superior, e a mesa, onde se colocou a bancada de testes</w:t>
      </w:r>
      <w:r w:rsidR="00395324">
        <w:rPr>
          <w:sz w:val="22"/>
          <w:szCs w:val="22"/>
        </w:rPr>
        <w:t xml:space="preserve"> propriamente</w:t>
      </w:r>
      <w:r w:rsidR="00A0683B">
        <w:rPr>
          <w:sz w:val="22"/>
          <w:szCs w:val="22"/>
        </w:rPr>
        <w:t>, pode variar seu ângulo de 0⁰ a 45⁰.</w:t>
      </w: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r>
        <w:rPr>
          <w:noProof/>
          <w:sz w:val="22"/>
          <w:szCs w:val="22"/>
        </w:rPr>
        <w:drawing>
          <wp:anchor distT="0" distB="0" distL="114300" distR="114300" simplePos="0" relativeHeight="251661312" behindDoc="0" locked="0" layoutInCell="1" allowOverlap="1" wp14:anchorId="4E454D11" wp14:editId="53AA6DB3">
            <wp:simplePos x="0" y="0"/>
            <wp:positionH relativeFrom="margin">
              <wp:align>center</wp:align>
            </wp:positionH>
            <wp:positionV relativeFrom="paragraph">
              <wp:posOffset>5080</wp:posOffset>
            </wp:positionV>
            <wp:extent cx="3859481" cy="1665047"/>
            <wp:effectExtent l="0" t="0" r="825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ta Explodi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9481" cy="1665047"/>
                    </a:xfrm>
                    <a:prstGeom prst="rect">
                      <a:avLst/>
                    </a:prstGeom>
                  </pic:spPr>
                </pic:pic>
              </a:graphicData>
            </a:graphic>
            <wp14:sizeRelH relativeFrom="page">
              <wp14:pctWidth>0</wp14:pctWidth>
            </wp14:sizeRelH>
            <wp14:sizeRelV relativeFrom="page">
              <wp14:pctHeight>0</wp14:pctHeight>
            </wp14:sizeRelV>
          </wp:anchor>
        </w:drawing>
      </w: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F806A4">
      <w:pPr>
        <w:spacing w:line="240" w:lineRule="auto"/>
        <w:ind w:firstLine="851"/>
        <w:rPr>
          <w:sz w:val="22"/>
          <w:szCs w:val="22"/>
        </w:rPr>
      </w:pPr>
    </w:p>
    <w:p w:rsidR="00CA2F41" w:rsidRDefault="00CA2F41" w:rsidP="00CA2F41">
      <w:pPr>
        <w:spacing w:line="240" w:lineRule="auto"/>
        <w:rPr>
          <w:b/>
          <w:sz w:val="22"/>
          <w:szCs w:val="22"/>
        </w:rPr>
      </w:pPr>
    </w:p>
    <w:p w:rsidR="00395324" w:rsidRDefault="00395324" w:rsidP="00CA2F41">
      <w:pPr>
        <w:spacing w:line="240" w:lineRule="auto"/>
        <w:ind w:firstLine="851"/>
        <w:rPr>
          <w:b/>
          <w:sz w:val="22"/>
          <w:szCs w:val="22"/>
        </w:rPr>
      </w:pPr>
    </w:p>
    <w:p w:rsidR="002E6E32" w:rsidRDefault="002E6E32" w:rsidP="00CA2F41">
      <w:pPr>
        <w:spacing w:line="240" w:lineRule="auto"/>
        <w:ind w:firstLine="851"/>
        <w:rPr>
          <w:b/>
          <w:sz w:val="22"/>
          <w:szCs w:val="22"/>
        </w:rPr>
      </w:pPr>
    </w:p>
    <w:p w:rsidR="00CA2F41" w:rsidRDefault="00CA2F41" w:rsidP="00CA2F41">
      <w:pPr>
        <w:spacing w:line="240" w:lineRule="auto"/>
        <w:ind w:firstLine="851"/>
        <w:rPr>
          <w:sz w:val="22"/>
          <w:szCs w:val="22"/>
        </w:rPr>
      </w:pPr>
      <w:r w:rsidRPr="00FC71F5">
        <w:rPr>
          <w:b/>
          <w:sz w:val="22"/>
          <w:szCs w:val="22"/>
        </w:rPr>
        <w:t xml:space="preserve">Figura </w:t>
      </w:r>
      <w:r>
        <w:rPr>
          <w:b/>
          <w:sz w:val="22"/>
          <w:szCs w:val="22"/>
        </w:rPr>
        <w:t>3</w:t>
      </w:r>
      <w:r w:rsidRPr="00FC71F5">
        <w:rPr>
          <w:b/>
          <w:sz w:val="22"/>
          <w:szCs w:val="22"/>
        </w:rPr>
        <w:t>.</w:t>
      </w:r>
      <w:r w:rsidRPr="00FC71F5">
        <w:rPr>
          <w:sz w:val="22"/>
          <w:szCs w:val="22"/>
        </w:rPr>
        <w:t xml:space="preserve"> </w:t>
      </w:r>
      <w:r>
        <w:rPr>
          <w:sz w:val="22"/>
          <w:szCs w:val="22"/>
        </w:rPr>
        <w:t>Desenho mecânico feito no programa Solidworks.</w:t>
      </w:r>
    </w:p>
    <w:p w:rsidR="00CA2F41" w:rsidRDefault="00CA2F41" w:rsidP="00F806A4">
      <w:pPr>
        <w:spacing w:line="240" w:lineRule="auto"/>
        <w:ind w:firstLine="851"/>
        <w:rPr>
          <w:sz w:val="22"/>
          <w:szCs w:val="22"/>
        </w:rPr>
      </w:pPr>
    </w:p>
    <w:p w:rsidR="00586805" w:rsidRDefault="00586805" w:rsidP="00586805">
      <w:pPr>
        <w:spacing w:line="240" w:lineRule="auto"/>
        <w:ind w:firstLine="851"/>
        <w:rPr>
          <w:sz w:val="22"/>
          <w:szCs w:val="22"/>
        </w:rPr>
      </w:pPr>
      <w:r w:rsidRPr="00586805">
        <w:rPr>
          <w:sz w:val="22"/>
          <w:szCs w:val="22"/>
        </w:rPr>
        <w:t>O terceiro passo foi definir o método de fabricação, sua montagem e análise de custos, sendo chamado de projeto de detalhamento. A quarta e última etapa é o desenvolvimento e serviço de campo, em que o protótipo foi produzido</w:t>
      </w:r>
      <w:r w:rsidR="00171263">
        <w:rPr>
          <w:sz w:val="22"/>
          <w:szCs w:val="22"/>
        </w:rPr>
        <w:t xml:space="preserve"> (Figura </w:t>
      </w:r>
      <w:r w:rsidR="00CA2F41">
        <w:rPr>
          <w:sz w:val="22"/>
          <w:szCs w:val="22"/>
        </w:rPr>
        <w:t>2</w:t>
      </w:r>
      <w:r w:rsidR="00171263">
        <w:rPr>
          <w:sz w:val="22"/>
          <w:szCs w:val="22"/>
        </w:rPr>
        <w:t>)</w:t>
      </w:r>
      <w:r w:rsidRPr="00586805">
        <w:rPr>
          <w:sz w:val="22"/>
          <w:szCs w:val="22"/>
        </w:rPr>
        <w:t xml:space="preserve"> e foram colhidos dados para o</w:t>
      </w:r>
      <w:r w:rsidR="004E52A7">
        <w:rPr>
          <w:sz w:val="22"/>
          <w:szCs w:val="22"/>
        </w:rPr>
        <w:t xml:space="preserve"> seu</w:t>
      </w:r>
      <w:r w:rsidRPr="00586805">
        <w:rPr>
          <w:sz w:val="22"/>
          <w:szCs w:val="22"/>
        </w:rPr>
        <w:t xml:space="preserve"> aperfeiçoamento e calibração</w:t>
      </w:r>
      <w:r w:rsidR="00BF7FDA">
        <w:rPr>
          <w:sz w:val="22"/>
          <w:szCs w:val="22"/>
        </w:rPr>
        <w:t xml:space="preserve">, como mostra a Figura </w:t>
      </w:r>
      <w:r w:rsidR="00CA2F41">
        <w:rPr>
          <w:sz w:val="22"/>
          <w:szCs w:val="22"/>
        </w:rPr>
        <w:t>3</w:t>
      </w:r>
      <w:r w:rsidRPr="00586805">
        <w:rPr>
          <w:sz w:val="22"/>
          <w:szCs w:val="22"/>
        </w:rPr>
        <w:t xml:space="preserve">. </w:t>
      </w:r>
    </w:p>
    <w:p w:rsidR="00CA2F41" w:rsidRDefault="00395324" w:rsidP="00586805">
      <w:pPr>
        <w:spacing w:line="240" w:lineRule="auto"/>
        <w:ind w:firstLine="851"/>
        <w:rPr>
          <w:sz w:val="22"/>
          <w:szCs w:val="22"/>
        </w:rPr>
      </w:pPr>
      <w:r>
        <w:rPr>
          <w:noProof/>
          <w:sz w:val="22"/>
          <w:szCs w:val="22"/>
        </w:rPr>
        <w:drawing>
          <wp:anchor distT="0" distB="0" distL="114300" distR="114300" simplePos="0" relativeHeight="251660288" behindDoc="0" locked="0" layoutInCell="1" allowOverlap="1" wp14:anchorId="345B8CB4" wp14:editId="37319947">
            <wp:simplePos x="0" y="0"/>
            <wp:positionH relativeFrom="margin">
              <wp:align>center</wp:align>
            </wp:positionH>
            <wp:positionV relativeFrom="paragraph">
              <wp:posOffset>45274</wp:posOffset>
            </wp:positionV>
            <wp:extent cx="4178112" cy="209599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e Açao Dupla.png"/>
                    <pic:cNvPicPr/>
                  </pic:nvPicPr>
                  <pic:blipFill>
                    <a:blip r:embed="rId12">
                      <a:extLst>
                        <a:ext uri="{28A0092B-C50C-407E-A947-70E740481C1C}">
                          <a14:useLocalDpi xmlns:a14="http://schemas.microsoft.com/office/drawing/2010/main" val="0"/>
                        </a:ext>
                      </a:extLst>
                    </a:blip>
                    <a:stretch>
                      <a:fillRect/>
                    </a:stretch>
                  </pic:blipFill>
                  <pic:spPr>
                    <a:xfrm>
                      <a:off x="0" y="0"/>
                      <a:ext cx="4178112" cy="2095995"/>
                    </a:xfrm>
                    <a:prstGeom prst="rect">
                      <a:avLst/>
                    </a:prstGeom>
                  </pic:spPr>
                </pic:pic>
              </a:graphicData>
            </a:graphic>
            <wp14:sizeRelH relativeFrom="page">
              <wp14:pctWidth>0</wp14:pctWidth>
            </wp14:sizeRelH>
            <wp14:sizeRelV relativeFrom="page">
              <wp14:pctHeight>0</wp14:pctHeight>
            </wp14:sizeRelV>
          </wp:anchor>
        </w:drawing>
      </w:r>
    </w:p>
    <w:p w:rsidR="00B22FF9" w:rsidRDefault="00B22FF9" w:rsidP="00586805">
      <w:pPr>
        <w:spacing w:line="240" w:lineRule="auto"/>
        <w:ind w:firstLine="851"/>
        <w:rPr>
          <w:sz w:val="22"/>
          <w:szCs w:val="22"/>
        </w:rPr>
      </w:pPr>
    </w:p>
    <w:p w:rsidR="00BF7FDA" w:rsidRDefault="00BF7FDA" w:rsidP="00586805">
      <w:pPr>
        <w:spacing w:line="240" w:lineRule="auto"/>
        <w:ind w:firstLine="851"/>
        <w:rPr>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586805">
      <w:pPr>
        <w:spacing w:line="240" w:lineRule="auto"/>
        <w:ind w:firstLine="851"/>
        <w:rPr>
          <w:b/>
          <w:sz w:val="22"/>
          <w:szCs w:val="22"/>
        </w:rPr>
      </w:pPr>
    </w:p>
    <w:p w:rsidR="00CA2F41" w:rsidRDefault="00CA2F41" w:rsidP="00A0683B">
      <w:pPr>
        <w:spacing w:line="240" w:lineRule="auto"/>
        <w:rPr>
          <w:b/>
          <w:sz w:val="22"/>
          <w:szCs w:val="22"/>
        </w:rPr>
      </w:pPr>
    </w:p>
    <w:p w:rsidR="00CA2F41" w:rsidRDefault="00CA2F41" w:rsidP="00586805">
      <w:pPr>
        <w:spacing w:line="240" w:lineRule="auto"/>
        <w:ind w:firstLine="851"/>
        <w:rPr>
          <w:b/>
          <w:sz w:val="22"/>
          <w:szCs w:val="22"/>
        </w:rPr>
      </w:pPr>
    </w:p>
    <w:p w:rsidR="00395324" w:rsidRDefault="00395324" w:rsidP="00586805">
      <w:pPr>
        <w:spacing w:line="240" w:lineRule="auto"/>
        <w:ind w:firstLine="851"/>
        <w:rPr>
          <w:b/>
          <w:sz w:val="22"/>
          <w:szCs w:val="22"/>
        </w:rPr>
      </w:pPr>
    </w:p>
    <w:p w:rsidR="00395324" w:rsidRDefault="00395324" w:rsidP="00586805">
      <w:pPr>
        <w:spacing w:line="240" w:lineRule="auto"/>
        <w:ind w:firstLine="851"/>
        <w:rPr>
          <w:b/>
          <w:sz w:val="22"/>
          <w:szCs w:val="22"/>
        </w:rPr>
      </w:pPr>
    </w:p>
    <w:p w:rsidR="00BF7FDA" w:rsidRDefault="00BF7FDA" w:rsidP="00586805">
      <w:pPr>
        <w:spacing w:line="240" w:lineRule="auto"/>
        <w:ind w:firstLine="851"/>
        <w:rPr>
          <w:sz w:val="22"/>
          <w:szCs w:val="22"/>
        </w:rPr>
      </w:pPr>
      <w:r w:rsidRPr="00FC71F5">
        <w:rPr>
          <w:b/>
          <w:sz w:val="22"/>
          <w:szCs w:val="22"/>
        </w:rPr>
        <w:t xml:space="preserve">Figura </w:t>
      </w:r>
      <w:r w:rsidR="00CA2F41">
        <w:rPr>
          <w:b/>
          <w:sz w:val="22"/>
          <w:szCs w:val="22"/>
        </w:rPr>
        <w:t>3</w:t>
      </w:r>
      <w:r w:rsidRPr="00FC71F5">
        <w:rPr>
          <w:b/>
          <w:sz w:val="22"/>
          <w:szCs w:val="22"/>
        </w:rPr>
        <w:t>.</w:t>
      </w:r>
      <w:r w:rsidRPr="00FC71F5">
        <w:rPr>
          <w:sz w:val="22"/>
          <w:szCs w:val="22"/>
        </w:rPr>
        <w:t xml:space="preserve"> </w:t>
      </w:r>
      <w:r>
        <w:rPr>
          <w:sz w:val="22"/>
          <w:szCs w:val="22"/>
        </w:rPr>
        <w:t>Teste com revólver em ação dupla</w:t>
      </w:r>
      <w:r w:rsidRPr="00FC71F5">
        <w:rPr>
          <w:sz w:val="22"/>
          <w:szCs w:val="22"/>
        </w:rPr>
        <w:t>.</w:t>
      </w:r>
    </w:p>
    <w:p w:rsidR="00CA2F41" w:rsidRDefault="00CA2F41" w:rsidP="00586805">
      <w:pPr>
        <w:spacing w:line="240" w:lineRule="auto"/>
        <w:ind w:firstLine="851"/>
        <w:rPr>
          <w:sz w:val="22"/>
          <w:szCs w:val="22"/>
        </w:rPr>
      </w:pPr>
    </w:p>
    <w:p w:rsidR="00191CF3" w:rsidRDefault="00CA2F41" w:rsidP="00191CF3">
      <w:pPr>
        <w:ind w:firstLine="284"/>
        <w:textAlignment w:val="top"/>
        <w:rPr>
          <w:sz w:val="22"/>
          <w:szCs w:val="22"/>
        </w:rPr>
      </w:pPr>
      <w:r w:rsidRPr="00586805">
        <w:rPr>
          <w:sz w:val="22"/>
          <w:szCs w:val="22"/>
        </w:rPr>
        <w:lastRenderedPageBreak/>
        <w:t>Obteve-se, portanto, ao final do trabalho, um resultado satisfató</w:t>
      </w:r>
      <w:r>
        <w:rPr>
          <w:sz w:val="22"/>
          <w:szCs w:val="22"/>
        </w:rPr>
        <w:t>rio para a bancada de testes,</w:t>
      </w:r>
      <w:r w:rsidRPr="00586805">
        <w:rPr>
          <w:sz w:val="22"/>
          <w:szCs w:val="22"/>
        </w:rPr>
        <w:t xml:space="preserve"> que realizou o disparo das armas de fogo remotamente tanto em ação simples como em ação dupla</w:t>
      </w:r>
      <w:r w:rsidR="004E52A7">
        <w:rPr>
          <w:sz w:val="22"/>
          <w:szCs w:val="22"/>
        </w:rPr>
        <w:t>, para armas curtas e longas</w:t>
      </w:r>
      <w:r w:rsidR="00B41403">
        <w:rPr>
          <w:sz w:val="22"/>
          <w:szCs w:val="22"/>
        </w:rPr>
        <w:t xml:space="preserve"> (Figura 4)</w:t>
      </w:r>
      <w:r w:rsidRPr="00586805">
        <w:rPr>
          <w:sz w:val="22"/>
          <w:szCs w:val="22"/>
        </w:rPr>
        <w:t>. Não houve qualquer movimentaç</w:t>
      </w:r>
      <w:r>
        <w:rPr>
          <w:sz w:val="22"/>
          <w:szCs w:val="22"/>
        </w:rPr>
        <w:t>ão da bancada durante os testes e a</w:t>
      </w:r>
      <w:r w:rsidRPr="00586805">
        <w:rPr>
          <w:sz w:val="22"/>
          <w:szCs w:val="22"/>
        </w:rPr>
        <w:t xml:space="preserve"> arma de fogo também não escorregou em sua fixação após o tiro. </w:t>
      </w:r>
      <w:r>
        <w:rPr>
          <w:sz w:val="22"/>
          <w:szCs w:val="22"/>
        </w:rPr>
        <w:t>Todos os testes foram realizados remotamente fora da sala de testes, c</w:t>
      </w:r>
      <w:r w:rsidRPr="00586805">
        <w:rPr>
          <w:sz w:val="22"/>
          <w:szCs w:val="22"/>
        </w:rPr>
        <w:t>umprindo, assim, os objetivos do projeto.</w:t>
      </w:r>
      <w:r w:rsidR="00191CF3">
        <w:rPr>
          <w:sz w:val="22"/>
          <w:szCs w:val="22"/>
        </w:rPr>
        <w:t xml:space="preserve"> </w:t>
      </w:r>
    </w:p>
    <w:p w:rsidR="00B41403" w:rsidRDefault="00B41403" w:rsidP="00191CF3">
      <w:pPr>
        <w:ind w:firstLine="284"/>
        <w:textAlignment w:val="top"/>
        <w:rPr>
          <w:sz w:val="22"/>
          <w:szCs w:val="22"/>
        </w:rPr>
      </w:pPr>
      <w:r>
        <w:rPr>
          <w:noProof/>
          <w:sz w:val="22"/>
          <w:szCs w:val="22"/>
        </w:rPr>
        <w:drawing>
          <wp:anchor distT="0" distB="0" distL="114300" distR="114300" simplePos="0" relativeHeight="251664384" behindDoc="0" locked="0" layoutInCell="1" allowOverlap="1" wp14:anchorId="33BF60CB" wp14:editId="4FF126B6">
            <wp:simplePos x="0" y="0"/>
            <wp:positionH relativeFrom="margin">
              <wp:posOffset>45266</wp:posOffset>
            </wp:positionH>
            <wp:positionV relativeFrom="paragraph">
              <wp:posOffset>6985</wp:posOffset>
            </wp:positionV>
            <wp:extent cx="6078814" cy="200693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stola e fuz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8814" cy="2006930"/>
                    </a:xfrm>
                    <a:prstGeom prst="rect">
                      <a:avLst/>
                    </a:prstGeom>
                  </pic:spPr>
                </pic:pic>
              </a:graphicData>
            </a:graphic>
            <wp14:sizeRelH relativeFrom="page">
              <wp14:pctWidth>0</wp14:pctWidth>
            </wp14:sizeRelH>
            <wp14:sizeRelV relativeFrom="page">
              <wp14:pctHeight>0</wp14:pctHeight>
            </wp14:sizeRelV>
          </wp:anchor>
        </w:drawing>
      </w: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191CF3">
      <w:pPr>
        <w:ind w:firstLine="284"/>
        <w:textAlignment w:val="top"/>
        <w:rPr>
          <w:sz w:val="22"/>
          <w:szCs w:val="22"/>
        </w:rPr>
      </w:pPr>
    </w:p>
    <w:p w:rsidR="00B41403" w:rsidRDefault="00B41403" w:rsidP="00B41403">
      <w:pPr>
        <w:spacing w:line="240" w:lineRule="auto"/>
        <w:ind w:firstLine="851"/>
        <w:rPr>
          <w:sz w:val="22"/>
          <w:szCs w:val="22"/>
        </w:rPr>
      </w:pPr>
      <w:r w:rsidRPr="00FC71F5">
        <w:rPr>
          <w:b/>
          <w:sz w:val="22"/>
          <w:szCs w:val="22"/>
        </w:rPr>
        <w:t xml:space="preserve">Figura </w:t>
      </w:r>
      <w:r>
        <w:rPr>
          <w:b/>
          <w:sz w:val="22"/>
          <w:szCs w:val="22"/>
        </w:rPr>
        <w:t>4</w:t>
      </w:r>
      <w:r w:rsidRPr="00FC71F5">
        <w:rPr>
          <w:b/>
          <w:sz w:val="22"/>
          <w:szCs w:val="22"/>
        </w:rPr>
        <w:t>.</w:t>
      </w:r>
      <w:r w:rsidRPr="00FC71F5">
        <w:rPr>
          <w:sz w:val="22"/>
          <w:szCs w:val="22"/>
        </w:rPr>
        <w:t xml:space="preserve"> </w:t>
      </w:r>
      <w:r>
        <w:rPr>
          <w:sz w:val="22"/>
          <w:szCs w:val="22"/>
        </w:rPr>
        <w:t>Esquerda: teste com pistola em ação simples; Direita: teste com fuzil</w:t>
      </w:r>
      <w:r w:rsidRPr="00FC71F5">
        <w:rPr>
          <w:sz w:val="22"/>
          <w:szCs w:val="22"/>
        </w:rPr>
        <w:t>.</w:t>
      </w:r>
    </w:p>
    <w:p w:rsidR="00B41403" w:rsidRDefault="00B41403" w:rsidP="00191CF3">
      <w:pPr>
        <w:ind w:firstLine="284"/>
        <w:textAlignment w:val="top"/>
        <w:rPr>
          <w:sz w:val="22"/>
          <w:szCs w:val="22"/>
        </w:rPr>
      </w:pPr>
    </w:p>
    <w:p w:rsidR="00191CF3" w:rsidRPr="00191CF3" w:rsidRDefault="00191CF3" w:rsidP="00191CF3">
      <w:pPr>
        <w:ind w:firstLine="284"/>
        <w:textAlignment w:val="top"/>
        <w:rPr>
          <w:sz w:val="22"/>
          <w:szCs w:val="22"/>
        </w:rPr>
      </w:pPr>
      <w:r>
        <w:rPr>
          <w:sz w:val="22"/>
          <w:szCs w:val="22"/>
        </w:rPr>
        <w:t>Portanto, c</w:t>
      </w:r>
      <w:r w:rsidRPr="00191CF3">
        <w:rPr>
          <w:sz w:val="22"/>
          <w:szCs w:val="22"/>
        </w:rPr>
        <w:t xml:space="preserve">om os objetivos alcançados ao fim do trabalho, espera-se que </w:t>
      </w:r>
      <w:r w:rsidR="00BC1A9C">
        <w:rPr>
          <w:sz w:val="22"/>
          <w:szCs w:val="22"/>
        </w:rPr>
        <w:t xml:space="preserve">a bancada de testes </w:t>
      </w:r>
      <w:r w:rsidRPr="00191CF3">
        <w:rPr>
          <w:sz w:val="22"/>
          <w:szCs w:val="22"/>
        </w:rPr>
        <w:t>atenda integralmente a Polícia Civil do Distrito Federal, e, futuramente, que todas as instituições policiais brasileiras que se interessarem na proposta tenham acesso ao dispositivo.</w:t>
      </w:r>
    </w:p>
    <w:p w:rsidR="00CA2F41" w:rsidRPr="00586805" w:rsidRDefault="00CA2F41" w:rsidP="00395324">
      <w:pPr>
        <w:spacing w:line="240" w:lineRule="auto"/>
        <w:ind w:firstLine="851"/>
        <w:rPr>
          <w:sz w:val="22"/>
          <w:szCs w:val="22"/>
        </w:rPr>
      </w:pPr>
    </w:p>
    <w:p w:rsidR="005971B4" w:rsidRDefault="0065142A" w:rsidP="0065142A">
      <w:pPr>
        <w:pStyle w:val="Nivel1"/>
        <w:spacing w:line="240" w:lineRule="auto"/>
        <w:rPr>
          <w:sz w:val="20"/>
          <w:szCs w:val="22"/>
        </w:rPr>
      </w:pPr>
      <w:bookmarkStart w:id="1" w:name="_Toc311228598"/>
      <w:r w:rsidRPr="00FC71F5">
        <w:rPr>
          <w:sz w:val="20"/>
          <w:szCs w:val="22"/>
        </w:rPr>
        <w:t>REFERÊNCIAS BIBLIOGRÁFICAS</w:t>
      </w:r>
      <w:bookmarkEnd w:id="1"/>
    </w:p>
    <w:p w:rsidR="00BF7FDA" w:rsidRPr="00BF7FDA" w:rsidRDefault="00BF7FDA" w:rsidP="00BF7FDA">
      <w:pPr>
        <w:spacing w:line="240" w:lineRule="auto"/>
        <w:rPr>
          <w:sz w:val="20"/>
          <w:szCs w:val="22"/>
        </w:rPr>
      </w:pPr>
      <w:r>
        <w:rPr>
          <w:sz w:val="20"/>
          <w:szCs w:val="22"/>
        </w:rPr>
        <w:t xml:space="preserve">1. </w:t>
      </w:r>
      <w:r w:rsidRPr="00BF7FDA">
        <w:rPr>
          <w:sz w:val="20"/>
          <w:szCs w:val="22"/>
        </w:rPr>
        <w:t>ARAKELIAN, Marcos Barkev. Bancada de testes de armas de fogo por acionamento remoto. 2016. xiii, 65 f., il. Trabalho de conclusão de curso (Bacharelado em Engenharia Mecânica) —Universidade de Brasília, Brasília, 2016.</w:t>
      </w:r>
    </w:p>
    <w:p w:rsidR="00BF7FDA" w:rsidRPr="00BF7FDA" w:rsidRDefault="00BF7FDA" w:rsidP="00BF7FDA">
      <w:pPr>
        <w:spacing w:line="240" w:lineRule="auto"/>
        <w:rPr>
          <w:sz w:val="20"/>
          <w:szCs w:val="22"/>
        </w:rPr>
      </w:pPr>
      <w:r>
        <w:rPr>
          <w:sz w:val="20"/>
          <w:szCs w:val="22"/>
        </w:rPr>
        <w:t xml:space="preserve">2. </w:t>
      </w:r>
      <w:r w:rsidRPr="00BF7FDA">
        <w:rPr>
          <w:sz w:val="20"/>
          <w:szCs w:val="22"/>
        </w:rPr>
        <w:t>CHINN, George M. The machine gun - volume IV. 1. ed. Bureau of Ordnance, Department of Navy, 1955.</w:t>
      </w:r>
    </w:p>
    <w:p w:rsidR="00BF7FDA" w:rsidRPr="00BF7FDA" w:rsidRDefault="00BF7FDA" w:rsidP="00BF7FDA">
      <w:pPr>
        <w:spacing w:line="240" w:lineRule="auto"/>
        <w:rPr>
          <w:sz w:val="20"/>
          <w:szCs w:val="22"/>
        </w:rPr>
      </w:pPr>
      <w:r>
        <w:rPr>
          <w:sz w:val="20"/>
          <w:szCs w:val="22"/>
        </w:rPr>
        <w:t xml:space="preserve">3. </w:t>
      </w:r>
      <w:r w:rsidRPr="00BF7FDA">
        <w:rPr>
          <w:sz w:val="20"/>
          <w:szCs w:val="22"/>
        </w:rPr>
        <w:t>COLLINS, Jack A. Projeto mecânico de elementos de máquinas: uma perspectiva de prevenção de falha. 1. ed. Rio de Janeiro: LTC, 2015.</w:t>
      </w:r>
    </w:p>
    <w:sectPr w:rsidR="00BF7FDA" w:rsidRPr="00BF7FDA" w:rsidSect="003037F9">
      <w:headerReference w:type="default" r:id="rId14"/>
      <w:footerReference w:type="default" r:id="rId15"/>
      <w:pgSz w:w="11906" w:h="16838" w:code="9"/>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57D" w:rsidRDefault="0033657D" w:rsidP="003752F7">
      <w:pPr>
        <w:spacing w:line="240" w:lineRule="auto"/>
      </w:pPr>
      <w:r>
        <w:separator/>
      </w:r>
    </w:p>
  </w:endnote>
  <w:endnote w:type="continuationSeparator" w:id="0">
    <w:p w:rsidR="0033657D" w:rsidRDefault="0033657D" w:rsidP="003752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4225"/>
      <w:docPartObj>
        <w:docPartGallery w:val="Page Numbers (Bottom of Page)"/>
        <w:docPartUnique/>
      </w:docPartObj>
    </w:sdtPr>
    <w:sdtEndPr>
      <w:rPr>
        <w:sz w:val="20"/>
        <w:szCs w:val="20"/>
      </w:rPr>
    </w:sdtEndPr>
    <w:sdtContent>
      <w:p w:rsidR="00053737" w:rsidRPr="003752F7" w:rsidRDefault="00567BA9">
        <w:pPr>
          <w:pStyle w:val="Rodap"/>
          <w:jc w:val="right"/>
          <w:rPr>
            <w:sz w:val="20"/>
            <w:szCs w:val="20"/>
          </w:rPr>
        </w:pPr>
        <w:r w:rsidRPr="003752F7">
          <w:rPr>
            <w:sz w:val="20"/>
            <w:szCs w:val="20"/>
          </w:rPr>
          <w:fldChar w:fldCharType="begin"/>
        </w:r>
        <w:r w:rsidR="00053737" w:rsidRPr="003752F7">
          <w:rPr>
            <w:sz w:val="20"/>
            <w:szCs w:val="20"/>
          </w:rPr>
          <w:instrText xml:space="preserve"> PAGE   \* MERGEFORMAT </w:instrText>
        </w:r>
        <w:r w:rsidRPr="003752F7">
          <w:rPr>
            <w:sz w:val="20"/>
            <w:szCs w:val="20"/>
          </w:rPr>
          <w:fldChar w:fldCharType="separate"/>
        </w:r>
        <w:r w:rsidR="008A64F7">
          <w:rPr>
            <w:noProof/>
            <w:sz w:val="20"/>
            <w:szCs w:val="20"/>
          </w:rPr>
          <w:t>1</w:t>
        </w:r>
        <w:r w:rsidRPr="003752F7">
          <w:rPr>
            <w:sz w:val="20"/>
            <w:szCs w:val="20"/>
          </w:rPr>
          <w:fldChar w:fldCharType="end"/>
        </w:r>
      </w:p>
    </w:sdtContent>
  </w:sdt>
  <w:p w:rsidR="00053737" w:rsidRDefault="000537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57D" w:rsidRDefault="0033657D" w:rsidP="003752F7">
      <w:pPr>
        <w:spacing w:line="240" w:lineRule="auto"/>
      </w:pPr>
      <w:r>
        <w:separator/>
      </w:r>
    </w:p>
  </w:footnote>
  <w:footnote w:type="continuationSeparator" w:id="0">
    <w:p w:rsidR="0033657D" w:rsidRDefault="0033657D" w:rsidP="003752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B2" w:rsidRDefault="002F7B50" w:rsidP="003037F9">
    <w:pPr>
      <w:pStyle w:val="Cabealho"/>
      <w:jc w:val="center"/>
      <w:rPr>
        <w:bCs/>
        <w:sz w:val="22"/>
        <w:szCs w:val="22"/>
      </w:rPr>
    </w:pPr>
    <w:r w:rsidRPr="002F7B50">
      <w:rPr>
        <w:bCs/>
        <w:sz w:val="22"/>
        <w:szCs w:val="22"/>
      </w:rPr>
      <w:t>XXIV Congresso Nacional de Criminalística, VII Congresso Inte</w:t>
    </w:r>
    <w:r w:rsidR="006044B2">
      <w:rPr>
        <w:bCs/>
        <w:sz w:val="22"/>
        <w:szCs w:val="22"/>
      </w:rPr>
      <w:t>rnacional de Perícia Criminal e</w:t>
    </w:r>
  </w:p>
  <w:p w:rsidR="00053737" w:rsidRPr="0056168D" w:rsidRDefault="002F7B50" w:rsidP="003037F9">
    <w:pPr>
      <w:pStyle w:val="Cabealho"/>
      <w:jc w:val="center"/>
      <w:rPr>
        <w:bCs/>
        <w:sz w:val="22"/>
        <w:szCs w:val="22"/>
      </w:rPr>
    </w:pPr>
    <w:r w:rsidRPr="002F7B50">
      <w:rPr>
        <w:bCs/>
        <w:sz w:val="22"/>
        <w:szCs w:val="22"/>
      </w:rPr>
      <w:t>XXIV Exposição de Tecnologias Aplicadas à Criminalística</w:t>
    </w:r>
  </w:p>
  <w:p w:rsidR="00053737" w:rsidRDefault="002F7B50" w:rsidP="003037F9">
    <w:pPr>
      <w:pStyle w:val="Cabealho"/>
      <w:jc w:val="center"/>
      <w:rPr>
        <w:bCs/>
        <w:i/>
        <w:sz w:val="20"/>
        <w:szCs w:val="20"/>
      </w:rPr>
    </w:pPr>
    <w:r w:rsidRPr="002F7B50">
      <w:rPr>
        <w:bCs/>
        <w:i/>
        <w:sz w:val="20"/>
        <w:szCs w:val="20"/>
      </w:rPr>
      <w:t>Florianópolis-SC, 02 a 06 de outubro de 2017</w:t>
    </w:r>
    <w:r w:rsidR="00053737" w:rsidRPr="006762AA">
      <w:rPr>
        <w:bCs/>
        <w:i/>
        <w:sz w:val="20"/>
        <w:szCs w:val="20"/>
      </w:rPr>
      <w:t>.</w:t>
    </w:r>
  </w:p>
  <w:p w:rsidR="00FF2189" w:rsidRPr="006762AA" w:rsidRDefault="00FF2189" w:rsidP="003037F9">
    <w:pPr>
      <w:pStyle w:val="Cabealho"/>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0B96"/>
    <w:multiLevelType w:val="hybridMultilevel"/>
    <w:tmpl w:val="6FF6A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CE04A54"/>
    <w:multiLevelType w:val="hybridMultilevel"/>
    <w:tmpl w:val="CD8E67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5A15650"/>
    <w:multiLevelType w:val="hybridMultilevel"/>
    <w:tmpl w:val="24DA16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E86"/>
    <w:rsid w:val="000050E6"/>
    <w:rsid w:val="00007771"/>
    <w:rsid w:val="000110B8"/>
    <w:rsid w:val="000141D6"/>
    <w:rsid w:val="00014DC9"/>
    <w:rsid w:val="00026BC8"/>
    <w:rsid w:val="00042E0A"/>
    <w:rsid w:val="00043C0D"/>
    <w:rsid w:val="00051A3B"/>
    <w:rsid w:val="00053737"/>
    <w:rsid w:val="00053FCD"/>
    <w:rsid w:val="00080175"/>
    <w:rsid w:val="00090BA6"/>
    <w:rsid w:val="000B38F5"/>
    <w:rsid w:val="000C67DF"/>
    <w:rsid w:val="000C6C07"/>
    <w:rsid w:val="000D64F7"/>
    <w:rsid w:val="000E490F"/>
    <w:rsid w:val="000E62DA"/>
    <w:rsid w:val="001052AA"/>
    <w:rsid w:val="00115C7E"/>
    <w:rsid w:val="0012394C"/>
    <w:rsid w:val="00123C40"/>
    <w:rsid w:val="00123D94"/>
    <w:rsid w:val="00124E05"/>
    <w:rsid w:val="001451DD"/>
    <w:rsid w:val="0015364A"/>
    <w:rsid w:val="00167EE0"/>
    <w:rsid w:val="00171263"/>
    <w:rsid w:val="0018033F"/>
    <w:rsid w:val="001847FE"/>
    <w:rsid w:val="00191CF3"/>
    <w:rsid w:val="00196018"/>
    <w:rsid w:val="001978D2"/>
    <w:rsid w:val="001A2428"/>
    <w:rsid w:val="001A35F9"/>
    <w:rsid w:val="001A3F23"/>
    <w:rsid w:val="001A5588"/>
    <w:rsid w:val="001A715A"/>
    <w:rsid w:val="001B3C69"/>
    <w:rsid w:val="001D2633"/>
    <w:rsid w:val="001D7643"/>
    <w:rsid w:val="001E1232"/>
    <w:rsid w:val="001E221F"/>
    <w:rsid w:val="001F5735"/>
    <w:rsid w:val="00244839"/>
    <w:rsid w:val="00247455"/>
    <w:rsid w:val="00251C8D"/>
    <w:rsid w:val="00256A86"/>
    <w:rsid w:val="00262CE0"/>
    <w:rsid w:val="00272C6D"/>
    <w:rsid w:val="00273933"/>
    <w:rsid w:val="00281DFF"/>
    <w:rsid w:val="00293268"/>
    <w:rsid w:val="00293989"/>
    <w:rsid w:val="002A1F55"/>
    <w:rsid w:val="002C1772"/>
    <w:rsid w:val="002C1DE6"/>
    <w:rsid w:val="002E6E32"/>
    <w:rsid w:val="002F613D"/>
    <w:rsid w:val="002F7B50"/>
    <w:rsid w:val="003037F9"/>
    <w:rsid w:val="003212D0"/>
    <w:rsid w:val="0032165A"/>
    <w:rsid w:val="00334F29"/>
    <w:rsid w:val="0033657D"/>
    <w:rsid w:val="0034706C"/>
    <w:rsid w:val="00353468"/>
    <w:rsid w:val="00357D88"/>
    <w:rsid w:val="00372A5D"/>
    <w:rsid w:val="003752F7"/>
    <w:rsid w:val="0037720B"/>
    <w:rsid w:val="00382120"/>
    <w:rsid w:val="003928AB"/>
    <w:rsid w:val="00395324"/>
    <w:rsid w:val="003D455E"/>
    <w:rsid w:val="003E761E"/>
    <w:rsid w:val="003F0931"/>
    <w:rsid w:val="003F6A7C"/>
    <w:rsid w:val="00423161"/>
    <w:rsid w:val="00425FB9"/>
    <w:rsid w:val="004264DD"/>
    <w:rsid w:val="00442AB9"/>
    <w:rsid w:val="00460049"/>
    <w:rsid w:val="004600AE"/>
    <w:rsid w:val="00460CF2"/>
    <w:rsid w:val="00473BD3"/>
    <w:rsid w:val="00474F95"/>
    <w:rsid w:val="00486A9E"/>
    <w:rsid w:val="00491EA9"/>
    <w:rsid w:val="004A1F23"/>
    <w:rsid w:val="004B1A67"/>
    <w:rsid w:val="004D63F0"/>
    <w:rsid w:val="004D6CE8"/>
    <w:rsid w:val="004D7262"/>
    <w:rsid w:val="004E1122"/>
    <w:rsid w:val="004E52A7"/>
    <w:rsid w:val="004F21E1"/>
    <w:rsid w:val="0051281F"/>
    <w:rsid w:val="00514489"/>
    <w:rsid w:val="00516CB0"/>
    <w:rsid w:val="005342A4"/>
    <w:rsid w:val="00535C25"/>
    <w:rsid w:val="00541B84"/>
    <w:rsid w:val="00541C6C"/>
    <w:rsid w:val="00542D9B"/>
    <w:rsid w:val="00543A8C"/>
    <w:rsid w:val="0055601A"/>
    <w:rsid w:val="0056168D"/>
    <w:rsid w:val="00567BA9"/>
    <w:rsid w:val="00571EAF"/>
    <w:rsid w:val="0057510C"/>
    <w:rsid w:val="00586805"/>
    <w:rsid w:val="0059109E"/>
    <w:rsid w:val="00595933"/>
    <w:rsid w:val="00596AD6"/>
    <w:rsid w:val="005971B4"/>
    <w:rsid w:val="005A5F31"/>
    <w:rsid w:val="005A71F4"/>
    <w:rsid w:val="005B6216"/>
    <w:rsid w:val="005D3B1F"/>
    <w:rsid w:val="005E0339"/>
    <w:rsid w:val="005E75EF"/>
    <w:rsid w:val="006028E9"/>
    <w:rsid w:val="006044B2"/>
    <w:rsid w:val="00606784"/>
    <w:rsid w:val="006347BF"/>
    <w:rsid w:val="006378FF"/>
    <w:rsid w:val="00647C59"/>
    <w:rsid w:val="0065142A"/>
    <w:rsid w:val="00672251"/>
    <w:rsid w:val="006762AA"/>
    <w:rsid w:val="00677924"/>
    <w:rsid w:val="00690E86"/>
    <w:rsid w:val="0069112F"/>
    <w:rsid w:val="006947F5"/>
    <w:rsid w:val="00696F59"/>
    <w:rsid w:val="006A774A"/>
    <w:rsid w:val="006B0091"/>
    <w:rsid w:val="006B00A7"/>
    <w:rsid w:val="006B0CC4"/>
    <w:rsid w:val="006B17A2"/>
    <w:rsid w:val="006C74E3"/>
    <w:rsid w:val="006D18B3"/>
    <w:rsid w:val="006D26FC"/>
    <w:rsid w:val="006D4BC8"/>
    <w:rsid w:val="006E3323"/>
    <w:rsid w:val="006E33F4"/>
    <w:rsid w:val="006E4FEA"/>
    <w:rsid w:val="006F43BE"/>
    <w:rsid w:val="006F7BA0"/>
    <w:rsid w:val="00704CD3"/>
    <w:rsid w:val="007148BD"/>
    <w:rsid w:val="00733C52"/>
    <w:rsid w:val="00734E3C"/>
    <w:rsid w:val="00746985"/>
    <w:rsid w:val="00755A52"/>
    <w:rsid w:val="0078302E"/>
    <w:rsid w:val="00784AD1"/>
    <w:rsid w:val="0079623C"/>
    <w:rsid w:val="007A109C"/>
    <w:rsid w:val="007C522E"/>
    <w:rsid w:val="007D0DBB"/>
    <w:rsid w:val="007E2E1A"/>
    <w:rsid w:val="0080108D"/>
    <w:rsid w:val="008039FA"/>
    <w:rsid w:val="00804B34"/>
    <w:rsid w:val="00811620"/>
    <w:rsid w:val="00813F18"/>
    <w:rsid w:val="00817160"/>
    <w:rsid w:val="00821CAD"/>
    <w:rsid w:val="00824730"/>
    <w:rsid w:val="00832F16"/>
    <w:rsid w:val="008572CF"/>
    <w:rsid w:val="00857E91"/>
    <w:rsid w:val="00860EDC"/>
    <w:rsid w:val="008763EC"/>
    <w:rsid w:val="008949B2"/>
    <w:rsid w:val="008A64F7"/>
    <w:rsid w:val="008B5B05"/>
    <w:rsid w:val="008D7AB4"/>
    <w:rsid w:val="008E2991"/>
    <w:rsid w:val="00910D22"/>
    <w:rsid w:val="009217B6"/>
    <w:rsid w:val="00941837"/>
    <w:rsid w:val="00950EFD"/>
    <w:rsid w:val="00973188"/>
    <w:rsid w:val="00987E5E"/>
    <w:rsid w:val="009A202B"/>
    <w:rsid w:val="009A5F55"/>
    <w:rsid w:val="009C3761"/>
    <w:rsid w:val="009C4AC1"/>
    <w:rsid w:val="009E0435"/>
    <w:rsid w:val="009E4343"/>
    <w:rsid w:val="009E4AE7"/>
    <w:rsid w:val="009F3B49"/>
    <w:rsid w:val="009F4702"/>
    <w:rsid w:val="009F60BF"/>
    <w:rsid w:val="00A049AE"/>
    <w:rsid w:val="00A0683B"/>
    <w:rsid w:val="00A30721"/>
    <w:rsid w:val="00A37102"/>
    <w:rsid w:val="00A47D2C"/>
    <w:rsid w:val="00A51761"/>
    <w:rsid w:val="00A5398B"/>
    <w:rsid w:val="00A6702D"/>
    <w:rsid w:val="00A72023"/>
    <w:rsid w:val="00A81023"/>
    <w:rsid w:val="00A9079D"/>
    <w:rsid w:val="00A9585D"/>
    <w:rsid w:val="00AE4966"/>
    <w:rsid w:val="00AE583C"/>
    <w:rsid w:val="00AF0BDD"/>
    <w:rsid w:val="00B00282"/>
    <w:rsid w:val="00B008DD"/>
    <w:rsid w:val="00B15F8A"/>
    <w:rsid w:val="00B21E36"/>
    <w:rsid w:val="00B22FF9"/>
    <w:rsid w:val="00B2671D"/>
    <w:rsid w:val="00B30B26"/>
    <w:rsid w:val="00B32F1D"/>
    <w:rsid w:val="00B33D8A"/>
    <w:rsid w:val="00B41403"/>
    <w:rsid w:val="00B462A0"/>
    <w:rsid w:val="00B50074"/>
    <w:rsid w:val="00B702A7"/>
    <w:rsid w:val="00B81B4D"/>
    <w:rsid w:val="00BA23C0"/>
    <w:rsid w:val="00BA44CE"/>
    <w:rsid w:val="00BA50CA"/>
    <w:rsid w:val="00BC1A9C"/>
    <w:rsid w:val="00BD2918"/>
    <w:rsid w:val="00BF6353"/>
    <w:rsid w:val="00BF7FDA"/>
    <w:rsid w:val="00C11825"/>
    <w:rsid w:val="00C1748C"/>
    <w:rsid w:val="00C26C44"/>
    <w:rsid w:val="00C402D0"/>
    <w:rsid w:val="00C630D3"/>
    <w:rsid w:val="00C86D3A"/>
    <w:rsid w:val="00C92FC6"/>
    <w:rsid w:val="00C92FFA"/>
    <w:rsid w:val="00CA2F41"/>
    <w:rsid w:val="00CA7450"/>
    <w:rsid w:val="00CC0AEB"/>
    <w:rsid w:val="00CC6B7D"/>
    <w:rsid w:val="00CC7593"/>
    <w:rsid w:val="00CE4C43"/>
    <w:rsid w:val="00CE5E65"/>
    <w:rsid w:val="00CE6D58"/>
    <w:rsid w:val="00CF0B20"/>
    <w:rsid w:val="00CF3290"/>
    <w:rsid w:val="00CF5D2A"/>
    <w:rsid w:val="00D026FA"/>
    <w:rsid w:val="00D03AB2"/>
    <w:rsid w:val="00D07C04"/>
    <w:rsid w:val="00D23169"/>
    <w:rsid w:val="00D31E9E"/>
    <w:rsid w:val="00D348C0"/>
    <w:rsid w:val="00D55EBC"/>
    <w:rsid w:val="00D6094C"/>
    <w:rsid w:val="00D66DB9"/>
    <w:rsid w:val="00D7559F"/>
    <w:rsid w:val="00D83186"/>
    <w:rsid w:val="00D85888"/>
    <w:rsid w:val="00DB64DF"/>
    <w:rsid w:val="00DC0E24"/>
    <w:rsid w:val="00DD690F"/>
    <w:rsid w:val="00DE2ADD"/>
    <w:rsid w:val="00DF7C5F"/>
    <w:rsid w:val="00E15739"/>
    <w:rsid w:val="00E30AA9"/>
    <w:rsid w:val="00E573A1"/>
    <w:rsid w:val="00E65FFC"/>
    <w:rsid w:val="00E97951"/>
    <w:rsid w:val="00E979DF"/>
    <w:rsid w:val="00EA3AA3"/>
    <w:rsid w:val="00EA47BE"/>
    <w:rsid w:val="00EA4AD4"/>
    <w:rsid w:val="00EC6C1D"/>
    <w:rsid w:val="00EE266E"/>
    <w:rsid w:val="00EE70EE"/>
    <w:rsid w:val="00F10ED3"/>
    <w:rsid w:val="00F11B6C"/>
    <w:rsid w:val="00F15E18"/>
    <w:rsid w:val="00F22F39"/>
    <w:rsid w:val="00F363E3"/>
    <w:rsid w:val="00F42EBD"/>
    <w:rsid w:val="00F50A50"/>
    <w:rsid w:val="00F525A4"/>
    <w:rsid w:val="00F6162F"/>
    <w:rsid w:val="00F806A4"/>
    <w:rsid w:val="00F80A2A"/>
    <w:rsid w:val="00F90DCE"/>
    <w:rsid w:val="00FB34C0"/>
    <w:rsid w:val="00FB6D6C"/>
    <w:rsid w:val="00FC2E7B"/>
    <w:rsid w:val="00FC3308"/>
    <w:rsid w:val="00FC71F5"/>
    <w:rsid w:val="00FD150A"/>
    <w:rsid w:val="00FD2ABF"/>
    <w:rsid w:val="00FE0FA3"/>
    <w:rsid w:val="00FE594F"/>
    <w:rsid w:val="00FF2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paragraph" w:customStyle="1" w:styleId="CorpoTexto">
    <w:name w:val="Corpo Texto"/>
    <w:basedOn w:val="Normal"/>
    <w:rsid w:val="00BF7FDA"/>
    <w:pPr>
      <w:autoSpaceDE w:val="0"/>
      <w:autoSpaceDN w:val="0"/>
      <w:adjustRightInd w:val="0"/>
      <w:spacing w:line="288" w:lineRule="auto"/>
      <w:ind w:firstLine="283"/>
      <w:textAlignment w:val="center"/>
    </w:pPr>
    <w:rPr>
      <w:rFonts w:ascii="Bookman Old Style" w:hAnsi="Bookman Old Style" w:cs="Bookman Old Style"/>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paragraph" w:customStyle="1" w:styleId="CorpoTexto">
    <w:name w:val="Corpo Texto"/>
    <w:basedOn w:val="Normal"/>
    <w:rsid w:val="00BF7FDA"/>
    <w:pPr>
      <w:autoSpaceDE w:val="0"/>
      <w:autoSpaceDN w:val="0"/>
      <w:adjustRightInd w:val="0"/>
      <w:spacing w:line="288" w:lineRule="auto"/>
      <w:ind w:firstLine="283"/>
      <w:textAlignment w:val="center"/>
    </w:pPr>
    <w:rPr>
      <w:rFonts w:ascii="Bookman Old Style" w:hAnsi="Bookman Old Style" w:cs="Bookman Old Styl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4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1B754-7E01-4B29-95FE-65BF70C2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5191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dc:creator>
  <cp:lastModifiedBy>Attitude 3</cp:lastModifiedBy>
  <cp:revision>2</cp:revision>
  <cp:lastPrinted>2013-03-17T11:48:00Z</cp:lastPrinted>
  <dcterms:created xsi:type="dcterms:W3CDTF">2017-07-19T21:04:00Z</dcterms:created>
  <dcterms:modified xsi:type="dcterms:W3CDTF">2017-07-19T21:04:00Z</dcterms:modified>
</cp:coreProperties>
</file>