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18" w:rsidRPr="00813F18" w:rsidRDefault="00A9625C" w:rsidP="00824730">
      <w:pPr>
        <w:spacing w:line="240" w:lineRule="auto"/>
        <w:jc w:val="center"/>
        <w:rPr>
          <w:b/>
        </w:rPr>
      </w:pPr>
      <w:r w:rsidRPr="00A9625C">
        <w:rPr>
          <w:b/>
        </w:rPr>
        <w:t>Comparação entre as gomas de cajueiro e angico como estabilizantes de nanopartículas de prata para potencial aplicação como reveladores de impressões digitais latentes em papel</w:t>
      </w:r>
    </w:p>
    <w:p w:rsidR="00595933" w:rsidRPr="00813F18" w:rsidRDefault="00595933" w:rsidP="00824730">
      <w:pPr>
        <w:spacing w:line="240" w:lineRule="auto"/>
        <w:jc w:val="left"/>
      </w:pPr>
    </w:p>
    <w:p w:rsidR="006B0CC4" w:rsidRPr="00FC71F5" w:rsidRDefault="006B0CC4" w:rsidP="00824730">
      <w:pPr>
        <w:spacing w:line="240" w:lineRule="auto"/>
        <w:jc w:val="center"/>
      </w:pPr>
      <w:bookmarkStart w:id="0" w:name="_GoBack"/>
      <w:bookmarkEnd w:id="0"/>
    </w:p>
    <w:p w:rsidR="0013528B" w:rsidRDefault="0013528B" w:rsidP="0005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rPr>
          <w:color w:val="212121"/>
          <w:sz w:val="22"/>
          <w:szCs w:val="22"/>
          <w:lang w:val="pt-PT"/>
        </w:rPr>
      </w:pPr>
      <w:r w:rsidRPr="0013528B">
        <w:rPr>
          <w:sz w:val="22"/>
          <w:szCs w:val="22"/>
        </w:rPr>
        <w:t>As sup</w:t>
      </w:r>
      <w:r>
        <w:rPr>
          <w:sz w:val="22"/>
          <w:szCs w:val="22"/>
        </w:rPr>
        <w:t>erfícies porosas, como o papel,</w:t>
      </w:r>
      <w:r w:rsidRPr="0013528B">
        <w:rPr>
          <w:sz w:val="22"/>
          <w:szCs w:val="22"/>
        </w:rPr>
        <w:t xml:space="preserve"> ainda não possuem um revelador </w:t>
      </w:r>
      <w:r>
        <w:rPr>
          <w:sz w:val="22"/>
          <w:szCs w:val="22"/>
        </w:rPr>
        <w:t xml:space="preserve">para impressões digitais latentes (IDL) </w:t>
      </w:r>
      <w:r w:rsidRPr="0013528B">
        <w:rPr>
          <w:sz w:val="22"/>
          <w:szCs w:val="22"/>
        </w:rPr>
        <w:t xml:space="preserve">ideal e </w:t>
      </w:r>
      <w:r w:rsidRPr="0013528B">
        <w:rPr>
          <w:color w:val="212121"/>
          <w:sz w:val="22"/>
          <w:szCs w:val="22"/>
          <w:lang w:val="pt-PT"/>
        </w:rPr>
        <w:t>os estudos atuais estão se concentrando em est</w:t>
      </w:r>
      <w:r>
        <w:rPr>
          <w:color w:val="212121"/>
          <w:sz w:val="22"/>
          <w:szCs w:val="22"/>
          <w:lang w:val="pt-PT"/>
        </w:rPr>
        <w:t xml:space="preserve">ender a capacidade de melhorar sua </w:t>
      </w:r>
      <w:r w:rsidRPr="0013528B">
        <w:rPr>
          <w:color w:val="212121"/>
          <w:sz w:val="22"/>
          <w:szCs w:val="22"/>
          <w:lang w:val="pt-PT"/>
        </w:rPr>
        <w:t xml:space="preserve">visualização de maneira simples, rápida, econômica e fácil de usar </w:t>
      </w:r>
      <w:r w:rsidRPr="0013528B">
        <w:rPr>
          <w:color w:val="212121"/>
          <w:sz w:val="22"/>
          <w:szCs w:val="22"/>
          <w:lang w:val="pt-PT"/>
        </w:rPr>
        <w:fldChar w:fldCharType="begin" w:fldLock="1"/>
      </w:r>
      <w:r w:rsidRPr="0013528B">
        <w:rPr>
          <w:color w:val="212121"/>
          <w:sz w:val="22"/>
          <w:szCs w:val="22"/>
          <w:lang w:val="pt-PT"/>
        </w:rPr>
        <w:instrText>ADDIN CSL_CITATION { "citationItems" : [ { "id" : "ITEM-1", "itemData" : { "DOI" : "http://doi.org/10.1016/j.forsciint.2008.04.027", "ISSN" : "0379-0738", "abstract" : "This article reviews the application of metal-containing nanoparticles and nano-structured particles to fingermark detection. This area of research is attracting significant interest as advances in nanoscience are being incorporated into the field of forensic fingermark detection. Although more research is needed before some of the techniques presented can be implemented in routine casework, nanotechnology is likely to play a major role in the future to deliver more selective and more sensitive ways to detect and enhance fingermarks.", "author" : [ { "dropping-particle" : "", "family" : "Choi", "given" : "Mi Jung", "non-dropping-particle" : "", "parse-names" : false, "suffix" : "" }, { "dropping-particle" : "", "family" : "McDonagh", "given" : "Andrew M", "non-dropping-particle" : "", "parse-names" : false, "suffix" : "" }, { "dropping-particle" : "", "family" : "Maynard", "given" : "Philip", "non-dropping-particle" : "", "parse-names" : false, "suffix" : "" }, { "dropping-particle" : "", "family" : "Roux", "given" : "Claude", "non-dropping-particle" : "", "parse-names" : false, "suffix" : "" } ], "container-title" : "Forensic Science International", "id" : "ITEM-1", "issue" : "2\u20133", "issued" : { "date-parts" : [ [ "2008", "8", "6" ] ] }, "page" : "87-97", "title" : "Metal-containing nanoparticles and nano-structured particles in fingermark detection", "type" : "article-journal", "volume" : "179" }, "uris" : [ "http://www.mendeley.com/documents/?uuid=16b2c3c5-c78d-4834-8202-c56eb8e451e9" ] } ], "mendeley" : { "formattedCitation" : "(CHOI et al., 2008b)", "plainTextFormattedCitation" : "(CHOI et al., 2008b)", "previouslyFormattedCitation" : "(CHOI et al., 2008b)" }, "properties" : { "noteIndex" : 0 }, "schema" : "https://github.com/citation-style-language/schema/raw/master/csl-citation.json" }</w:instrText>
      </w:r>
      <w:r w:rsidRPr="0013528B">
        <w:rPr>
          <w:color w:val="212121"/>
          <w:sz w:val="22"/>
          <w:szCs w:val="22"/>
          <w:lang w:val="pt-PT"/>
        </w:rPr>
        <w:fldChar w:fldCharType="separate"/>
      </w:r>
      <w:r w:rsidR="00054152">
        <w:rPr>
          <w:noProof/>
          <w:color w:val="212121"/>
          <w:sz w:val="22"/>
          <w:szCs w:val="22"/>
          <w:lang w:val="pt-PT"/>
        </w:rPr>
        <w:t>(CHOI et al., 2008</w:t>
      </w:r>
      <w:r w:rsidRPr="0013528B">
        <w:rPr>
          <w:noProof/>
          <w:color w:val="212121"/>
          <w:sz w:val="22"/>
          <w:szCs w:val="22"/>
          <w:lang w:val="pt-PT"/>
        </w:rPr>
        <w:t>)</w:t>
      </w:r>
      <w:r w:rsidRPr="0013528B">
        <w:rPr>
          <w:color w:val="212121"/>
          <w:sz w:val="22"/>
          <w:szCs w:val="22"/>
          <w:lang w:val="pt-PT"/>
        </w:rPr>
        <w:fldChar w:fldCharType="end"/>
      </w:r>
      <w:r w:rsidRPr="0013528B">
        <w:rPr>
          <w:color w:val="212121"/>
          <w:sz w:val="22"/>
          <w:szCs w:val="22"/>
          <w:lang w:val="pt-PT"/>
        </w:rPr>
        <w:t>.</w:t>
      </w:r>
    </w:p>
    <w:p w:rsidR="0013528B" w:rsidRDefault="0013528B" w:rsidP="0005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rPr>
          <w:color w:val="212121"/>
          <w:sz w:val="22"/>
          <w:szCs w:val="22"/>
          <w:lang w:val="pt-PT"/>
        </w:rPr>
      </w:pPr>
      <w:r w:rsidRPr="0013528B">
        <w:rPr>
          <w:color w:val="212121"/>
          <w:sz w:val="22"/>
          <w:szCs w:val="22"/>
          <w:lang w:val="pt-PT"/>
        </w:rPr>
        <w:t xml:space="preserve">As nanopartículas (NPs) são propostas como uma forma de solucionar alguns problemas relativos à revelação de </w:t>
      </w:r>
      <w:r>
        <w:rPr>
          <w:color w:val="212121"/>
          <w:sz w:val="22"/>
          <w:szCs w:val="22"/>
          <w:lang w:val="pt-PT"/>
        </w:rPr>
        <w:t>IDL</w:t>
      </w:r>
      <w:r w:rsidRPr="0013528B">
        <w:rPr>
          <w:color w:val="212121"/>
          <w:sz w:val="22"/>
          <w:szCs w:val="22"/>
          <w:lang w:val="pt-PT"/>
        </w:rPr>
        <w:t xml:space="preserve"> em suportes porosos devido à sua pequena dimensão, versatilidade e possibilidade de ajuste de suas propriedades de superfície </w:t>
      </w:r>
      <w:r w:rsidRPr="0013528B">
        <w:rPr>
          <w:color w:val="212121"/>
          <w:sz w:val="22"/>
          <w:szCs w:val="22"/>
          <w:lang w:val="pt-PT"/>
        </w:rPr>
        <w:fldChar w:fldCharType="begin" w:fldLock="1"/>
      </w:r>
      <w:r w:rsidRPr="0013528B">
        <w:rPr>
          <w:color w:val="212121"/>
          <w:sz w:val="22"/>
          <w:szCs w:val="22"/>
          <w:lang w:val="pt-PT"/>
        </w:rPr>
        <w:instrText>ADDIN CSL_CITATION { "citationItems" : [ { "id" : "ITEM-1", "itemData" : { "DOI" : "10.3109/10520290903462838", "ISSN" : "1473-7760 (Electronic)", "PMID" : "20121464", "abstract" : "Detection of fingermarks at a crime scene or on related items is of prime interest for forensic investigators, mainly for identification purposes. Most of the fingermarks are invisible to the naked eye, however. The application of detection techniques is required to establish visual contrast between the secretion residue and the underlying substrate. We give here a review of the field related to the concept of using stains to detect fingermarks. A distinction has been made between the physically driven classical detection techniques, the chemically driven ones, and those based on nanostructured materials, an emerging field in forensic science.", "author" : [ { "dropping-particle" : "", "family" : "Becue", "given" : "A", "non-dropping-particle" : "", "parse-names" : false, "suffix" : "" }, { "dropping-particle" : "", "family" : "Moret", "given" : "S", "non-dropping-particle" : "", "parse-names" : false, "suffix" : "" }, { "dropping-particle" : "", "family" : "Champod", "given" : "C", "non-dropping-particle" : "", "parse-names" : false, "suffix" : "" }, { "dropping-particle" : "", "family" : "Margot", "given" : "P", "non-dropping-particle" : "", "parse-names" : false, "suffix" : "" } ], "container-title" : "Biotechnic &amp; histochemistry : official publication of the Biological Stain Commission", "id" : "ITEM-1", "issue" : "3", "issued" : { "date-parts" : [ [ "2011", "6" ] ] }, "language" : "eng", "page" : "140-160", "publisher-place" : "England", "title" : "Use of stains to detect fingermarks.", "type" : "article-journal", "volume" : "86" }, "uris" : [ "http://www.mendeley.com/documents/?uuid=8ed2d9b5-22a1-4ebf-af0c-5ddb933d995c" ] } ], "mendeley" : { "formattedCitation" : "(BECUE et al., 2011)", "plainTextFormattedCitation" : "(BECUE et al., 2011)", "previouslyFormattedCitation" : "(BECUE et al., 2011)" }, "properties" : { "noteIndex" : 0 }, "schema" : "https://github.com/citation-style-language/schema/raw/master/csl-citation.json" }</w:instrText>
      </w:r>
      <w:r w:rsidRPr="0013528B">
        <w:rPr>
          <w:color w:val="212121"/>
          <w:sz w:val="22"/>
          <w:szCs w:val="22"/>
          <w:lang w:val="pt-PT"/>
        </w:rPr>
        <w:fldChar w:fldCharType="separate"/>
      </w:r>
      <w:r w:rsidRPr="0013528B">
        <w:rPr>
          <w:noProof/>
          <w:color w:val="212121"/>
          <w:sz w:val="22"/>
          <w:szCs w:val="22"/>
          <w:lang w:val="pt-PT"/>
        </w:rPr>
        <w:t>(BECUE et al., 2011)</w:t>
      </w:r>
      <w:r w:rsidRPr="0013528B">
        <w:rPr>
          <w:color w:val="212121"/>
          <w:sz w:val="22"/>
          <w:szCs w:val="22"/>
          <w:lang w:val="pt-PT"/>
        </w:rPr>
        <w:fldChar w:fldCharType="end"/>
      </w:r>
      <w:r w:rsidRPr="0013528B">
        <w:rPr>
          <w:color w:val="212121"/>
          <w:sz w:val="22"/>
          <w:szCs w:val="22"/>
          <w:lang w:val="pt-PT"/>
        </w:rPr>
        <w:t>. Neste sentido, estudo preliminar demonstrou potencial biotecnológico de nanopartículas de prata (AgNPs) estabilizadas com goma de cajueiro, com aplicação ocupacionalmente segura aos peritos (FARIA, 2016).</w:t>
      </w:r>
    </w:p>
    <w:p w:rsidR="0013528B" w:rsidRDefault="0013528B" w:rsidP="0005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rPr>
          <w:color w:val="212121"/>
          <w:sz w:val="22"/>
          <w:szCs w:val="22"/>
          <w:lang w:val="pt-PT"/>
        </w:rPr>
      </w:pPr>
      <w:r>
        <w:rPr>
          <w:color w:val="212121"/>
          <w:sz w:val="22"/>
          <w:szCs w:val="22"/>
          <w:lang w:val="pt-PT"/>
        </w:rPr>
        <w:t>Desta forma, o objetivo da</w:t>
      </w:r>
      <w:r w:rsidRPr="0013528B">
        <w:rPr>
          <w:color w:val="212121"/>
          <w:sz w:val="22"/>
          <w:szCs w:val="22"/>
          <w:lang w:val="pt-PT"/>
        </w:rPr>
        <w:t xml:space="preserve"> presente </w:t>
      </w:r>
      <w:r>
        <w:rPr>
          <w:color w:val="212121"/>
          <w:sz w:val="22"/>
          <w:szCs w:val="22"/>
          <w:lang w:val="pt-PT"/>
        </w:rPr>
        <w:t>pesquisa</w:t>
      </w:r>
      <w:r w:rsidRPr="0013528B">
        <w:rPr>
          <w:color w:val="212121"/>
          <w:sz w:val="22"/>
          <w:szCs w:val="22"/>
          <w:lang w:val="pt-PT"/>
        </w:rPr>
        <w:t xml:space="preserve"> foi caracterizar formulações de AgNPs estabilizadas com gomas de cajueiro (GC) e angico (GA), de forma a estabelecer a melhor preparação e utilizá-la </w:t>
      </w:r>
      <w:r>
        <w:rPr>
          <w:color w:val="212121"/>
          <w:sz w:val="22"/>
          <w:szCs w:val="22"/>
          <w:lang w:val="pt-PT"/>
        </w:rPr>
        <w:t>para revelação de IDL em papel.</w:t>
      </w:r>
    </w:p>
    <w:p w:rsidR="0013528B" w:rsidRDefault="0013528B" w:rsidP="0005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rPr>
          <w:sz w:val="22"/>
          <w:szCs w:val="22"/>
        </w:rPr>
      </w:pPr>
      <w:r w:rsidRPr="0013528B">
        <w:rPr>
          <w:color w:val="000000"/>
          <w:sz w:val="22"/>
          <w:szCs w:val="22"/>
        </w:rPr>
        <w:t>As AgNPs foram preparadas com partes iguais de GC e GA</w:t>
      </w:r>
      <w:r w:rsidRPr="0013528B">
        <w:rPr>
          <w:color w:val="212121"/>
          <w:sz w:val="22"/>
          <w:szCs w:val="22"/>
          <w:lang w:val="pt-PT"/>
        </w:rPr>
        <w:t xml:space="preserve"> na concentração de 0,5mg/mL</w:t>
      </w:r>
      <w:r w:rsidRPr="0013528B">
        <w:rPr>
          <w:color w:val="000000"/>
          <w:sz w:val="22"/>
          <w:szCs w:val="22"/>
        </w:rPr>
        <w:t xml:space="preserve"> e AgNO</w:t>
      </w:r>
      <w:r w:rsidRPr="0013528B">
        <w:rPr>
          <w:color w:val="000000"/>
          <w:sz w:val="22"/>
          <w:szCs w:val="22"/>
          <w:vertAlign w:val="subscript"/>
        </w:rPr>
        <w:t>3</w:t>
      </w:r>
      <w:r w:rsidRPr="0013528B">
        <w:rPr>
          <w:color w:val="000000"/>
          <w:sz w:val="22"/>
          <w:szCs w:val="22"/>
        </w:rPr>
        <w:t xml:space="preserve"> 1mM, adicionadas de NaBH</w:t>
      </w:r>
      <w:r w:rsidRPr="0013528B">
        <w:rPr>
          <w:color w:val="000000"/>
          <w:sz w:val="22"/>
          <w:szCs w:val="22"/>
          <w:vertAlign w:val="subscript"/>
        </w:rPr>
        <w:t>4</w:t>
      </w:r>
      <w:r w:rsidRPr="0013528B">
        <w:rPr>
          <w:color w:val="000000"/>
          <w:sz w:val="22"/>
          <w:szCs w:val="22"/>
        </w:rPr>
        <w:t xml:space="preserve"> 0,1M (</w:t>
      </w:r>
      <w:r w:rsidRPr="0013528B">
        <w:rPr>
          <w:color w:val="212121"/>
          <w:sz w:val="22"/>
          <w:szCs w:val="22"/>
          <w:lang w:val="pt-PT"/>
        </w:rPr>
        <w:t>1:1, 1:5, 1:10 e 1:15 em relação à prata</w:t>
      </w:r>
      <w:r w:rsidRPr="0013528B">
        <w:rPr>
          <w:color w:val="000000"/>
          <w:sz w:val="22"/>
          <w:szCs w:val="22"/>
        </w:rPr>
        <w:t xml:space="preserve">). A obtenção das AgNPs foi monitorada por espectrofotometria UV-VIS (varredura nos λ 300-600nm); e o tamanho, distribuição populacional e potencial zeta por </w:t>
      </w:r>
      <w:r w:rsidRPr="0013528B">
        <w:rPr>
          <w:sz w:val="22"/>
          <w:szCs w:val="22"/>
        </w:rPr>
        <w:t>Dynamic Light Scattering (DLS).</w:t>
      </w:r>
    </w:p>
    <w:p w:rsidR="00080F6F" w:rsidRDefault="001624D7" w:rsidP="0005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rPr>
          <w:color w:val="212121"/>
          <w:sz w:val="22"/>
          <w:szCs w:val="22"/>
          <w:lang w:val="pt-PT"/>
        </w:rPr>
      </w:pPr>
      <w:r>
        <w:rPr>
          <w:color w:val="212121"/>
          <w:sz w:val="22"/>
          <w:szCs w:val="22"/>
          <w:lang w:val="pt-PT"/>
        </w:rPr>
        <w:t>Todas as formulações exibiram um pico em 400nm na espectrofotometria por UV-VIS, característico da formação de AgNPs.</w:t>
      </w:r>
    </w:p>
    <w:p w:rsidR="00080F6F" w:rsidRDefault="00E31542" w:rsidP="00080F6F">
      <w:pPr>
        <w:spacing w:line="240" w:lineRule="auto"/>
        <w:ind w:firstLine="851"/>
        <w:rPr>
          <w:sz w:val="22"/>
          <w:szCs w:val="22"/>
        </w:rPr>
      </w:pPr>
      <w:r w:rsidRPr="004C2D61">
        <w:rPr>
          <w:noProof/>
        </w:rPr>
        <w:drawing>
          <wp:anchor distT="0" distB="0" distL="114300" distR="114300" simplePos="0" relativeHeight="251659264" behindDoc="0" locked="0" layoutInCell="1" allowOverlap="1" wp14:anchorId="5CA2C1C5" wp14:editId="6AF08ADD">
            <wp:simplePos x="0" y="0"/>
            <wp:positionH relativeFrom="margin">
              <wp:align>right</wp:align>
            </wp:positionH>
            <wp:positionV relativeFrom="paragraph">
              <wp:posOffset>6985</wp:posOffset>
            </wp:positionV>
            <wp:extent cx="3261069" cy="2520000"/>
            <wp:effectExtent l="0" t="0" r="0" b="0"/>
            <wp:wrapNone/>
            <wp:docPr id="10" name="Imagem 10" descr="C:\Users\PC Marcela Sampaio\Desktop\nanos\Nano prata com NaBH4\29_06_2016\AGNP_Angico_NBH4\comparação de todas angico 1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 Marcela Sampaio\Desktop\nanos\Nano prata com NaBH4\29_06_2016\AGNP_Angico_NBH4\comparação de todas angico 1p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1069" cy="25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2D7">
        <w:rPr>
          <w:noProof/>
        </w:rPr>
        <w:drawing>
          <wp:anchor distT="0" distB="0" distL="114300" distR="114300" simplePos="0" relativeHeight="251661312" behindDoc="0" locked="0" layoutInCell="1" allowOverlap="1" wp14:anchorId="3B56CFA2" wp14:editId="0C6859D7">
            <wp:simplePos x="0" y="0"/>
            <wp:positionH relativeFrom="margin">
              <wp:align>left</wp:align>
            </wp:positionH>
            <wp:positionV relativeFrom="paragraph">
              <wp:posOffset>52070</wp:posOffset>
            </wp:positionV>
            <wp:extent cx="3261514" cy="2520000"/>
            <wp:effectExtent l="0" t="0" r="0" b="0"/>
            <wp:wrapNone/>
            <wp:docPr id="9" name="Imagem 9" descr="C:\Users\PC Marcela Sampaio\Desktop\nanos\Nano prata com NaBH4\29_06_2016\AgNP_GC_NBH4\comparação de todas - goma de caju diluiçãi 1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 Marcela Sampaio\Desktop\nanos\Nano prata com NaBH4\29_06_2016\AgNP_GC_NBH4\comparação de todas - goma de caju diluiçãi 1p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1514" cy="25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918" w:rsidRPr="00FC71F5" w:rsidRDefault="00BD2918" w:rsidP="00BD2918">
      <w:pPr>
        <w:tabs>
          <w:tab w:val="left" w:pos="1245"/>
        </w:tabs>
        <w:spacing w:line="240" w:lineRule="auto"/>
        <w:ind w:firstLine="851"/>
        <w:rPr>
          <w:sz w:val="22"/>
          <w:szCs w:val="22"/>
        </w:rPr>
      </w:pPr>
      <w:r>
        <w:rPr>
          <w:sz w:val="22"/>
          <w:szCs w:val="22"/>
        </w:rPr>
        <w:tab/>
      </w:r>
    </w:p>
    <w:p w:rsidR="00BD2918" w:rsidRPr="00FC71F5" w:rsidRDefault="00BD2918" w:rsidP="00BD2918">
      <w:pPr>
        <w:spacing w:line="240" w:lineRule="auto"/>
        <w:ind w:firstLine="851"/>
        <w:rPr>
          <w:sz w:val="22"/>
          <w:szCs w:val="22"/>
        </w:rPr>
      </w:pPr>
    </w:p>
    <w:p w:rsidR="00BD2918" w:rsidRPr="00FC71F5" w:rsidRDefault="00BD2918" w:rsidP="00BD2918">
      <w:pPr>
        <w:spacing w:line="240" w:lineRule="auto"/>
        <w:rPr>
          <w:sz w:val="22"/>
          <w:szCs w:val="22"/>
        </w:rPr>
      </w:pPr>
    </w:p>
    <w:p w:rsidR="00BD2918" w:rsidRPr="00FC71F5" w:rsidRDefault="00BD2918" w:rsidP="00BD2918">
      <w:pPr>
        <w:spacing w:line="240" w:lineRule="auto"/>
        <w:rPr>
          <w:sz w:val="22"/>
          <w:szCs w:val="22"/>
        </w:rPr>
      </w:pPr>
    </w:p>
    <w:p w:rsidR="00BD2918" w:rsidRPr="00FC71F5" w:rsidRDefault="00BD2918" w:rsidP="00BD2918">
      <w:pPr>
        <w:spacing w:line="240" w:lineRule="auto"/>
        <w:rPr>
          <w:sz w:val="22"/>
          <w:szCs w:val="22"/>
        </w:rPr>
      </w:pPr>
    </w:p>
    <w:p w:rsidR="00BD2918" w:rsidRDefault="00BD2918" w:rsidP="00BD2918">
      <w:pPr>
        <w:spacing w:line="240" w:lineRule="auto"/>
        <w:rPr>
          <w:sz w:val="22"/>
          <w:szCs w:val="22"/>
        </w:rPr>
      </w:pPr>
    </w:p>
    <w:p w:rsidR="00E31542" w:rsidRDefault="00E31542" w:rsidP="00BD2918">
      <w:pPr>
        <w:spacing w:line="240" w:lineRule="auto"/>
        <w:rPr>
          <w:sz w:val="22"/>
          <w:szCs w:val="22"/>
        </w:rPr>
      </w:pPr>
    </w:p>
    <w:p w:rsidR="00E31542" w:rsidRDefault="00E31542" w:rsidP="00BD2918">
      <w:pPr>
        <w:spacing w:line="240" w:lineRule="auto"/>
        <w:rPr>
          <w:sz w:val="22"/>
          <w:szCs w:val="22"/>
        </w:rPr>
      </w:pPr>
    </w:p>
    <w:p w:rsidR="00E31542" w:rsidRPr="00FC71F5" w:rsidRDefault="00E31542" w:rsidP="00BD2918">
      <w:pPr>
        <w:spacing w:line="240" w:lineRule="auto"/>
        <w:rPr>
          <w:sz w:val="22"/>
          <w:szCs w:val="22"/>
        </w:rPr>
      </w:pPr>
    </w:p>
    <w:p w:rsidR="00BD2918" w:rsidRPr="00FC71F5" w:rsidRDefault="00BD2918" w:rsidP="00BD2918">
      <w:pPr>
        <w:spacing w:line="240" w:lineRule="auto"/>
        <w:rPr>
          <w:sz w:val="22"/>
          <w:szCs w:val="22"/>
        </w:rPr>
      </w:pPr>
    </w:p>
    <w:p w:rsidR="00BD2918" w:rsidRDefault="00BD2918" w:rsidP="00BD2918">
      <w:pPr>
        <w:spacing w:line="240" w:lineRule="auto"/>
        <w:rPr>
          <w:sz w:val="22"/>
          <w:szCs w:val="22"/>
        </w:rPr>
      </w:pPr>
    </w:p>
    <w:p w:rsidR="001624D7" w:rsidRDefault="001624D7" w:rsidP="00BD2918">
      <w:pPr>
        <w:spacing w:line="240" w:lineRule="auto"/>
        <w:rPr>
          <w:sz w:val="22"/>
          <w:szCs w:val="22"/>
        </w:rPr>
      </w:pPr>
    </w:p>
    <w:p w:rsidR="001624D7" w:rsidRDefault="001624D7" w:rsidP="00BD2918">
      <w:pPr>
        <w:spacing w:line="240" w:lineRule="auto"/>
        <w:rPr>
          <w:sz w:val="22"/>
          <w:szCs w:val="22"/>
        </w:rPr>
      </w:pPr>
    </w:p>
    <w:p w:rsidR="001624D7" w:rsidRDefault="001624D7" w:rsidP="00BD2918">
      <w:pPr>
        <w:spacing w:line="240" w:lineRule="auto"/>
        <w:rPr>
          <w:sz w:val="22"/>
          <w:szCs w:val="22"/>
        </w:rPr>
      </w:pPr>
    </w:p>
    <w:p w:rsidR="00E31542" w:rsidRDefault="00E31542" w:rsidP="00BD2918">
      <w:pPr>
        <w:spacing w:line="240" w:lineRule="auto"/>
        <w:jc w:val="left"/>
        <w:rPr>
          <w:sz w:val="22"/>
          <w:szCs w:val="22"/>
        </w:rPr>
      </w:pPr>
    </w:p>
    <w:p w:rsidR="00E31542" w:rsidRDefault="00E31542" w:rsidP="00E31542">
      <w:pPr>
        <w:spacing w:line="240" w:lineRule="auto"/>
        <w:jc w:val="left"/>
        <w:rPr>
          <w:sz w:val="22"/>
          <w:szCs w:val="22"/>
        </w:rPr>
      </w:pPr>
      <w:r>
        <w:rPr>
          <w:sz w:val="22"/>
          <w:szCs w:val="22"/>
        </w:rPr>
        <w:t xml:space="preserve">                      </w:t>
      </w:r>
      <w:r w:rsidR="00BD2918" w:rsidRPr="00FC71F5">
        <w:rPr>
          <w:b/>
          <w:sz w:val="22"/>
          <w:szCs w:val="22"/>
        </w:rPr>
        <w:t>Figura 1.</w:t>
      </w:r>
      <w:r w:rsidR="00BD2918" w:rsidRPr="00FC71F5">
        <w:rPr>
          <w:sz w:val="22"/>
          <w:szCs w:val="22"/>
        </w:rPr>
        <w:t xml:space="preserve"> </w:t>
      </w:r>
      <w:r>
        <w:rPr>
          <w:sz w:val="22"/>
          <w:szCs w:val="22"/>
        </w:rPr>
        <w:t>UV-VIS AgNPs -</w:t>
      </w:r>
      <w:r w:rsidR="00080F6F">
        <w:rPr>
          <w:sz w:val="22"/>
          <w:szCs w:val="22"/>
        </w:rPr>
        <w:t xml:space="preserve"> GC</w:t>
      </w:r>
      <w:r w:rsidR="00BD2918" w:rsidRPr="00FC71F5">
        <w:rPr>
          <w:sz w:val="22"/>
          <w:szCs w:val="22"/>
        </w:rPr>
        <w:t>.</w:t>
      </w:r>
      <w:r w:rsidR="00080F6F">
        <w:rPr>
          <w:sz w:val="22"/>
          <w:szCs w:val="22"/>
        </w:rPr>
        <w:t xml:space="preserve">   </w:t>
      </w:r>
      <w:r>
        <w:rPr>
          <w:b/>
          <w:sz w:val="22"/>
          <w:szCs w:val="22"/>
        </w:rPr>
        <w:t xml:space="preserve">                             </w:t>
      </w:r>
      <w:r w:rsidRPr="00FC71F5">
        <w:rPr>
          <w:b/>
          <w:sz w:val="22"/>
          <w:szCs w:val="22"/>
        </w:rPr>
        <w:t>Figura 2.</w:t>
      </w:r>
      <w:r w:rsidRPr="00FC71F5">
        <w:rPr>
          <w:sz w:val="22"/>
          <w:szCs w:val="22"/>
        </w:rPr>
        <w:t xml:space="preserve"> </w:t>
      </w:r>
      <w:r>
        <w:rPr>
          <w:sz w:val="22"/>
          <w:szCs w:val="22"/>
        </w:rPr>
        <w:t>UV-VIS AgNPs - GA</w:t>
      </w:r>
      <w:r w:rsidRPr="00FC71F5">
        <w:rPr>
          <w:sz w:val="22"/>
          <w:szCs w:val="22"/>
        </w:rPr>
        <w:t>.</w:t>
      </w:r>
    </w:p>
    <w:p w:rsidR="00054152" w:rsidRDefault="00054152" w:rsidP="00E31542">
      <w:pPr>
        <w:spacing w:line="240" w:lineRule="auto"/>
        <w:jc w:val="left"/>
        <w:rPr>
          <w:sz w:val="22"/>
          <w:szCs w:val="22"/>
        </w:rPr>
      </w:pPr>
    </w:p>
    <w:p w:rsidR="00054152" w:rsidRDefault="00054152" w:rsidP="00054152">
      <w:pPr>
        <w:spacing w:line="240" w:lineRule="auto"/>
        <w:ind w:firstLine="851"/>
        <w:jc w:val="left"/>
        <w:rPr>
          <w:sz w:val="22"/>
          <w:szCs w:val="22"/>
        </w:rPr>
      </w:pPr>
      <w:r>
        <w:rPr>
          <w:sz w:val="22"/>
          <w:szCs w:val="22"/>
        </w:rPr>
        <w:t>As AgNPs apresentaram as seguintes características na análise em DLS:</w:t>
      </w:r>
    </w:p>
    <w:p w:rsidR="00054152" w:rsidRDefault="00054152" w:rsidP="00054152">
      <w:pPr>
        <w:spacing w:line="240" w:lineRule="auto"/>
        <w:ind w:firstLine="851"/>
        <w:jc w:val="left"/>
        <w:rPr>
          <w:sz w:val="22"/>
          <w:szCs w:val="22"/>
        </w:rPr>
      </w:pPr>
    </w:p>
    <w:tbl>
      <w:tblPr>
        <w:tblStyle w:val="GridTable2"/>
        <w:tblW w:w="8505" w:type="dxa"/>
        <w:jc w:val="center"/>
        <w:tblLook w:val="04A0" w:firstRow="1" w:lastRow="0" w:firstColumn="1" w:lastColumn="0" w:noHBand="0" w:noVBand="1"/>
      </w:tblPr>
      <w:tblGrid>
        <w:gridCol w:w="3402"/>
        <w:gridCol w:w="1418"/>
        <w:gridCol w:w="2551"/>
        <w:gridCol w:w="1134"/>
      </w:tblGrid>
      <w:tr w:rsidR="008168AF" w:rsidRPr="00274B47" w:rsidTr="008168AF">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402" w:type="dxa"/>
            <w:noWrap/>
          </w:tcPr>
          <w:p w:rsidR="00054152" w:rsidRPr="00054152" w:rsidRDefault="008F3A9A" w:rsidP="00054152">
            <w:pPr>
              <w:spacing w:line="240" w:lineRule="auto"/>
              <w:jc w:val="center"/>
              <w:rPr>
                <w:color w:val="000000"/>
                <w:sz w:val="22"/>
                <w:szCs w:val="22"/>
              </w:rPr>
            </w:pPr>
            <w:r>
              <w:rPr>
                <w:color w:val="000000"/>
                <w:sz w:val="22"/>
                <w:szCs w:val="22"/>
              </w:rPr>
              <w:t>TIPO DE NANOPARTÍCULA</w:t>
            </w:r>
          </w:p>
        </w:tc>
        <w:tc>
          <w:tcPr>
            <w:tcW w:w="1418" w:type="dxa"/>
            <w:noWrap/>
          </w:tcPr>
          <w:p w:rsidR="00054152" w:rsidRPr="00054152" w:rsidRDefault="00054152" w:rsidP="00054152">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054152">
              <w:rPr>
                <w:color w:val="000000"/>
                <w:sz w:val="22"/>
                <w:szCs w:val="22"/>
              </w:rPr>
              <w:t>TAMANHO</w:t>
            </w:r>
          </w:p>
        </w:tc>
        <w:tc>
          <w:tcPr>
            <w:tcW w:w="2551" w:type="dxa"/>
            <w:noWrap/>
          </w:tcPr>
          <w:p w:rsidR="00054152" w:rsidRPr="00054152" w:rsidRDefault="008F3A9A" w:rsidP="00054152">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DISTRIBUIÇÃO (PDI)</w:t>
            </w:r>
          </w:p>
        </w:tc>
        <w:tc>
          <w:tcPr>
            <w:tcW w:w="1134" w:type="dxa"/>
            <w:noWrap/>
          </w:tcPr>
          <w:p w:rsidR="00054152" w:rsidRPr="00054152" w:rsidRDefault="00054152" w:rsidP="00054152">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054152">
              <w:rPr>
                <w:color w:val="000000"/>
                <w:sz w:val="22"/>
                <w:szCs w:val="22"/>
              </w:rPr>
              <w:t>ZETA</w:t>
            </w:r>
          </w:p>
        </w:tc>
      </w:tr>
      <w:tr w:rsidR="008F3A9A" w:rsidRPr="00274B47" w:rsidTr="008168AF">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402" w:type="dxa"/>
            <w:noWrap/>
          </w:tcPr>
          <w:p w:rsidR="008F3A9A" w:rsidRPr="00054152" w:rsidRDefault="008F3A9A" w:rsidP="008F3A9A">
            <w:pPr>
              <w:spacing w:line="240" w:lineRule="auto"/>
              <w:jc w:val="center"/>
              <w:rPr>
                <w:color w:val="000000"/>
                <w:sz w:val="22"/>
                <w:szCs w:val="22"/>
              </w:rPr>
            </w:pPr>
            <w:r w:rsidRPr="00054152">
              <w:rPr>
                <w:color w:val="000000"/>
                <w:sz w:val="22"/>
                <w:szCs w:val="22"/>
              </w:rPr>
              <w:t>AgNP-GC NaBH</w:t>
            </w:r>
            <w:r w:rsidRPr="008F3A9A">
              <w:rPr>
                <w:color w:val="000000"/>
                <w:sz w:val="22"/>
                <w:szCs w:val="22"/>
                <w:vertAlign w:val="subscript"/>
              </w:rPr>
              <w:t>4</w:t>
            </w:r>
            <w:r w:rsidRPr="00054152">
              <w:rPr>
                <w:color w:val="000000"/>
                <w:sz w:val="22"/>
                <w:szCs w:val="22"/>
              </w:rPr>
              <w:t xml:space="preserve"> 1:1</w:t>
            </w:r>
          </w:p>
        </w:tc>
        <w:tc>
          <w:tcPr>
            <w:tcW w:w="1418" w:type="dxa"/>
            <w:noWrap/>
          </w:tcPr>
          <w:p w:rsidR="008F3A9A" w:rsidRPr="00054152" w:rsidRDefault="008F3A9A" w:rsidP="008F3A9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054152">
              <w:rPr>
                <w:color w:val="000000"/>
                <w:sz w:val="22"/>
                <w:szCs w:val="22"/>
              </w:rPr>
              <w:t>51,75</w:t>
            </w:r>
          </w:p>
        </w:tc>
        <w:tc>
          <w:tcPr>
            <w:tcW w:w="2551" w:type="dxa"/>
            <w:noWrap/>
          </w:tcPr>
          <w:p w:rsidR="008F3A9A" w:rsidRPr="00054152" w:rsidRDefault="008F3A9A" w:rsidP="008F3A9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054152">
              <w:rPr>
                <w:color w:val="000000"/>
                <w:sz w:val="22"/>
                <w:szCs w:val="22"/>
              </w:rPr>
              <w:t>0,376</w:t>
            </w:r>
          </w:p>
        </w:tc>
        <w:tc>
          <w:tcPr>
            <w:tcW w:w="1134" w:type="dxa"/>
            <w:noWrap/>
          </w:tcPr>
          <w:p w:rsidR="008F3A9A" w:rsidRPr="00054152" w:rsidRDefault="008F3A9A" w:rsidP="008F3A9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054152">
              <w:rPr>
                <w:color w:val="000000"/>
                <w:sz w:val="22"/>
                <w:szCs w:val="22"/>
              </w:rPr>
              <w:t>-29,4</w:t>
            </w:r>
          </w:p>
        </w:tc>
      </w:tr>
      <w:tr w:rsidR="008168AF" w:rsidRPr="00274B47" w:rsidTr="008168AF">
        <w:trPr>
          <w:trHeight w:val="290"/>
          <w:jc w:val="center"/>
        </w:trPr>
        <w:tc>
          <w:tcPr>
            <w:cnfStyle w:val="001000000000" w:firstRow="0" w:lastRow="0" w:firstColumn="1" w:lastColumn="0" w:oddVBand="0" w:evenVBand="0" w:oddHBand="0" w:evenHBand="0" w:firstRowFirstColumn="0" w:firstRowLastColumn="0" w:lastRowFirstColumn="0" w:lastRowLastColumn="0"/>
            <w:tcW w:w="3402" w:type="dxa"/>
            <w:noWrap/>
          </w:tcPr>
          <w:p w:rsidR="008F3A9A" w:rsidRPr="00054152" w:rsidRDefault="008F3A9A" w:rsidP="008F3A9A">
            <w:pPr>
              <w:spacing w:line="240" w:lineRule="auto"/>
              <w:jc w:val="center"/>
              <w:rPr>
                <w:color w:val="000000"/>
                <w:sz w:val="22"/>
                <w:szCs w:val="22"/>
              </w:rPr>
            </w:pPr>
            <w:r w:rsidRPr="00054152">
              <w:rPr>
                <w:color w:val="000000"/>
                <w:sz w:val="22"/>
                <w:szCs w:val="22"/>
              </w:rPr>
              <w:t>AgNP-GC NaBH</w:t>
            </w:r>
            <w:r w:rsidRPr="008F3A9A">
              <w:rPr>
                <w:color w:val="000000"/>
                <w:sz w:val="22"/>
                <w:szCs w:val="22"/>
                <w:vertAlign w:val="subscript"/>
              </w:rPr>
              <w:t>4</w:t>
            </w:r>
            <w:r w:rsidRPr="00054152">
              <w:rPr>
                <w:color w:val="000000"/>
                <w:sz w:val="22"/>
                <w:szCs w:val="22"/>
              </w:rPr>
              <w:t xml:space="preserve"> 1:5</w:t>
            </w:r>
          </w:p>
        </w:tc>
        <w:tc>
          <w:tcPr>
            <w:tcW w:w="1418" w:type="dxa"/>
            <w:noWrap/>
          </w:tcPr>
          <w:p w:rsidR="008F3A9A" w:rsidRPr="00054152" w:rsidRDefault="008F3A9A" w:rsidP="008F3A9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054152">
              <w:rPr>
                <w:color w:val="000000"/>
                <w:sz w:val="22"/>
                <w:szCs w:val="22"/>
              </w:rPr>
              <w:t>45,72</w:t>
            </w:r>
          </w:p>
        </w:tc>
        <w:tc>
          <w:tcPr>
            <w:tcW w:w="2551" w:type="dxa"/>
            <w:noWrap/>
          </w:tcPr>
          <w:p w:rsidR="008F3A9A" w:rsidRPr="00054152" w:rsidRDefault="008F3A9A" w:rsidP="008F3A9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054152">
              <w:rPr>
                <w:color w:val="000000"/>
                <w:sz w:val="22"/>
                <w:szCs w:val="22"/>
              </w:rPr>
              <w:t>0,553</w:t>
            </w:r>
          </w:p>
        </w:tc>
        <w:tc>
          <w:tcPr>
            <w:tcW w:w="1134" w:type="dxa"/>
            <w:noWrap/>
          </w:tcPr>
          <w:p w:rsidR="008F3A9A" w:rsidRPr="00054152" w:rsidRDefault="008F3A9A" w:rsidP="008F3A9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054152">
              <w:rPr>
                <w:color w:val="000000"/>
                <w:sz w:val="22"/>
                <w:szCs w:val="22"/>
              </w:rPr>
              <w:t>-30,2</w:t>
            </w:r>
          </w:p>
        </w:tc>
      </w:tr>
      <w:tr w:rsidR="008168AF" w:rsidRPr="00274B47" w:rsidTr="008168AF">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402" w:type="dxa"/>
            <w:noWrap/>
          </w:tcPr>
          <w:p w:rsidR="008F3A9A" w:rsidRPr="00054152" w:rsidRDefault="008F3A9A" w:rsidP="008F3A9A">
            <w:pPr>
              <w:spacing w:line="240" w:lineRule="auto"/>
              <w:jc w:val="center"/>
              <w:rPr>
                <w:color w:val="000000"/>
                <w:sz w:val="22"/>
                <w:szCs w:val="22"/>
              </w:rPr>
            </w:pPr>
            <w:r w:rsidRPr="00054152">
              <w:rPr>
                <w:color w:val="000000"/>
                <w:sz w:val="22"/>
                <w:szCs w:val="22"/>
              </w:rPr>
              <w:t>AgNP-GC NaBH</w:t>
            </w:r>
            <w:r w:rsidRPr="008F3A9A">
              <w:rPr>
                <w:color w:val="000000"/>
                <w:sz w:val="22"/>
                <w:szCs w:val="22"/>
                <w:vertAlign w:val="subscript"/>
              </w:rPr>
              <w:t>4</w:t>
            </w:r>
            <w:r w:rsidRPr="00054152">
              <w:rPr>
                <w:color w:val="000000"/>
                <w:sz w:val="22"/>
                <w:szCs w:val="22"/>
              </w:rPr>
              <w:t xml:space="preserve"> 1:10</w:t>
            </w:r>
          </w:p>
        </w:tc>
        <w:tc>
          <w:tcPr>
            <w:tcW w:w="1418" w:type="dxa"/>
            <w:noWrap/>
          </w:tcPr>
          <w:p w:rsidR="008F3A9A" w:rsidRPr="00054152" w:rsidRDefault="008F3A9A" w:rsidP="008F3A9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054152">
              <w:rPr>
                <w:color w:val="000000"/>
                <w:sz w:val="22"/>
                <w:szCs w:val="22"/>
              </w:rPr>
              <w:t>54,47</w:t>
            </w:r>
          </w:p>
        </w:tc>
        <w:tc>
          <w:tcPr>
            <w:tcW w:w="2551" w:type="dxa"/>
            <w:noWrap/>
          </w:tcPr>
          <w:p w:rsidR="008F3A9A" w:rsidRPr="00054152" w:rsidRDefault="008F3A9A" w:rsidP="008F3A9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054152">
              <w:rPr>
                <w:color w:val="000000"/>
                <w:sz w:val="22"/>
                <w:szCs w:val="22"/>
              </w:rPr>
              <w:t>0,456</w:t>
            </w:r>
          </w:p>
        </w:tc>
        <w:tc>
          <w:tcPr>
            <w:tcW w:w="1134" w:type="dxa"/>
            <w:noWrap/>
          </w:tcPr>
          <w:p w:rsidR="008F3A9A" w:rsidRPr="00054152" w:rsidRDefault="008F3A9A" w:rsidP="008F3A9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054152">
              <w:rPr>
                <w:color w:val="000000"/>
                <w:sz w:val="22"/>
                <w:szCs w:val="22"/>
              </w:rPr>
              <w:t>-30,6</w:t>
            </w:r>
          </w:p>
        </w:tc>
      </w:tr>
      <w:tr w:rsidR="008168AF" w:rsidRPr="00274B47" w:rsidTr="008168AF">
        <w:trPr>
          <w:trHeight w:val="290"/>
          <w:jc w:val="center"/>
        </w:trPr>
        <w:tc>
          <w:tcPr>
            <w:cnfStyle w:val="001000000000" w:firstRow="0" w:lastRow="0" w:firstColumn="1" w:lastColumn="0" w:oddVBand="0" w:evenVBand="0" w:oddHBand="0" w:evenHBand="0" w:firstRowFirstColumn="0" w:firstRowLastColumn="0" w:lastRowFirstColumn="0" w:lastRowLastColumn="0"/>
            <w:tcW w:w="3402" w:type="dxa"/>
            <w:noWrap/>
          </w:tcPr>
          <w:p w:rsidR="008F3A9A" w:rsidRPr="00054152" w:rsidRDefault="008F3A9A" w:rsidP="008F3A9A">
            <w:pPr>
              <w:spacing w:line="240" w:lineRule="auto"/>
              <w:jc w:val="center"/>
              <w:rPr>
                <w:color w:val="000000"/>
                <w:sz w:val="22"/>
                <w:szCs w:val="22"/>
              </w:rPr>
            </w:pPr>
            <w:r w:rsidRPr="00054152">
              <w:rPr>
                <w:color w:val="000000"/>
                <w:sz w:val="22"/>
                <w:szCs w:val="22"/>
              </w:rPr>
              <w:t>AgNP-GC NaBH</w:t>
            </w:r>
            <w:r w:rsidRPr="008F3A9A">
              <w:rPr>
                <w:color w:val="000000"/>
                <w:sz w:val="22"/>
                <w:szCs w:val="22"/>
                <w:vertAlign w:val="subscript"/>
              </w:rPr>
              <w:t>4</w:t>
            </w:r>
            <w:r w:rsidRPr="00054152">
              <w:rPr>
                <w:color w:val="000000"/>
                <w:sz w:val="22"/>
                <w:szCs w:val="22"/>
              </w:rPr>
              <w:t xml:space="preserve"> 1:15</w:t>
            </w:r>
          </w:p>
        </w:tc>
        <w:tc>
          <w:tcPr>
            <w:tcW w:w="1418" w:type="dxa"/>
            <w:noWrap/>
          </w:tcPr>
          <w:p w:rsidR="008F3A9A" w:rsidRPr="00054152" w:rsidRDefault="008F3A9A" w:rsidP="008F3A9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054152">
              <w:rPr>
                <w:color w:val="000000"/>
                <w:sz w:val="22"/>
                <w:szCs w:val="22"/>
              </w:rPr>
              <w:t>43,42</w:t>
            </w:r>
          </w:p>
        </w:tc>
        <w:tc>
          <w:tcPr>
            <w:tcW w:w="2551" w:type="dxa"/>
            <w:noWrap/>
          </w:tcPr>
          <w:p w:rsidR="008F3A9A" w:rsidRPr="00054152" w:rsidRDefault="008F3A9A" w:rsidP="008F3A9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054152">
              <w:rPr>
                <w:color w:val="000000"/>
                <w:sz w:val="22"/>
                <w:szCs w:val="22"/>
              </w:rPr>
              <w:t>0,496</w:t>
            </w:r>
          </w:p>
        </w:tc>
        <w:tc>
          <w:tcPr>
            <w:tcW w:w="1134" w:type="dxa"/>
            <w:noWrap/>
          </w:tcPr>
          <w:p w:rsidR="008F3A9A" w:rsidRPr="00054152" w:rsidRDefault="008F3A9A" w:rsidP="008F3A9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054152">
              <w:rPr>
                <w:color w:val="000000"/>
                <w:sz w:val="22"/>
                <w:szCs w:val="22"/>
              </w:rPr>
              <w:t>-32,9</w:t>
            </w:r>
          </w:p>
        </w:tc>
      </w:tr>
      <w:tr w:rsidR="008168AF" w:rsidRPr="008F3A9A" w:rsidTr="008168AF">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402" w:type="dxa"/>
            <w:noWrap/>
          </w:tcPr>
          <w:p w:rsidR="008F3A9A" w:rsidRPr="008F3A9A" w:rsidRDefault="008F3A9A" w:rsidP="008F3A9A">
            <w:pPr>
              <w:spacing w:line="240" w:lineRule="auto"/>
              <w:jc w:val="center"/>
              <w:rPr>
                <w:color w:val="000000"/>
                <w:sz w:val="22"/>
                <w:szCs w:val="22"/>
              </w:rPr>
            </w:pPr>
            <w:r w:rsidRPr="008F3A9A">
              <w:rPr>
                <w:color w:val="000000"/>
                <w:sz w:val="22"/>
                <w:szCs w:val="22"/>
              </w:rPr>
              <w:t>AgNP-GA NaBH</w:t>
            </w:r>
            <w:r w:rsidRPr="008F3A9A">
              <w:rPr>
                <w:color w:val="000000"/>
                <w:sz w:val="22"/>
                <w:szCs w:val="22"/>
                <w:vertAlign w:val="subscript"/>
              </w:rPr>
              <w:t>4</w:t>
            </w:r>
            <w:r w:rsidRPr="008F3A9A">
              <w:rPr>
                <w:color w:val="000000"/>
                <w:sz w:val="22"/>
                <w:szCs w:val="22"/>
              </w:rPr>
              <w:t xml:space="preserve"> 1:1</w:t>
            </w:r>
          </w:p>
        </w:tc>
        <w:tc>
          <w:tcPr>
            <w:tcW w:w="1418" w:type="dxa"/>
            <w:noWrap/>
          </w:tcPr>
          <w:p w:rsidR="008F3A9A" w:rsidRPr="008F3A9A" w:rsidRDefault="008F3A9A" w:rsidP="008F3A9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8F3A9A">
              <w:rPr>
                <w:color w:val="000000"/>
                <w:sz w:val="22"/>
                <w:szCs w:val="22"/>
              </w:rPr>
              <w:t>46</w:t>
            </w:r>
          </w:p>
        </w:tc>
        <w:tc>
          <w:tcPr>
            <w:tcW w:w="2551" w:type="dxa"/>
            <w:noWrap/>
          </w:tcPr>
          <w:p w:rsidR="008F3A9A" w:rsidRPr="008F3A9A" w:rsidRDefault="008F3A9A" w:rsidP="008F3A9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8F3A9A">
              <w:rPr>
                <w:color w:val="000000"/>
                <w:sz w:val="22"/>
                <w:szCs w:val="22"/>
              </w:rPr>
              <w:t>0,326</w:t>
            </w:r>
          </w:p>
        </w:tc>
        <w:tc>
          <w:tcPr>
            <w:tcW w:w="1134" w:type="dxa"/>
            <w:noWrap/>
          </w:tcPr>
          <w:p w:rsidR="008F3A9A" w:rsidRPr="008F3A9A" w:rsidRDefault="008F3A9A" w:rsidP="008F3A9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8F3A9A">
              <w:rPr>
                <w:color w:val="000000"/>
                <w:sz w:val="22"/>
                <w:szCs w:val="22"/>
              </w:rPr>
              <w:t>-21</w:t>
            </w:r>
          </w:p>
        </w:tc>
      </w:tr>
      <w:tr w:rsidR="008F3A9A" w:rsidRPr="008F3A9A" w:rsidTr="008168AF">
        <w:trPr>
          <w:trHeight w:val="290"/>
          <w:jc w:val="center"/>
        </w:trPr>
        <w:tc>
          <w:tcPr>
            <w:cnfStyle w:val="001000000000" w:firstRow="0" w:lastRow="0" w:firstColumn="1" w:lastColumn="0" w:oddVBand="0" w:evenVBand="0" w:oddHBand="0" w:evenHBand="0" w:firstRowFirstColumn="0" w:firstRowLastColumn="0" w:lastRowFirstColumn="0" w:lastRowLastColumn="0"/>
            <w:tcW w:w="3402" w:type="dxa"/>
            <w:noWrap/>
          </w:tcPr>
          <w:p w:rsidR="008F3A9A" w:rsidRPr="008F3A9A" w:rsidRDefault="008F3A9A" w:rsidP="008F3A9A">
            <w:pPr>
              <w:spacing w:line="240" w:lineRule="auto"/>
              <w:jc w:val="center"/>
              <w:rPr>
                <w:color w:val="000000"/>
                <w:sz w:val="22"/>
                <w:szCs w:val="22"/>
              </w:rPr>
            </w:pPr>
            <w:r w:rsidRPr="008F3A9A">
              <w:rPr>
                <w:color w:val="000000"/>
                <w:sz w:val="22"/>
                <w:szCs w:val="22"/>
              </w:rPr>
              <w:t>AgNP-GA NaBH</w:t>
            </w:r>
            <w:r w:rsidRPr="008F3A9A">
              <w:rPr>
                <w:color w:val="000000"/>
                <w:sz w:val="22"/>
                <w:szCs w:val="22"/>
                <w:vertAlign w:val="subscript"/>
              </w:rPr>
              <w:t>4</w:t>
            </w:r>
            <w:r w:rsidRPr="008F3A9A">
              <w:rPr>
                <w:color w:val="000000"/>
                <w:sz w:val="22"/>
                <w:szCs w:val="22"/>
              </w:rPr>
              <w:t xml:space="preserve"> 1:5</w:t>
            </w:r>
          </w:p>
        </w:tc>
        <w:tc>
          <w:tcPr>
            <w:tcW w:w="1418" w:type="dxa"/>
            <w:noWrap/>
          </w:tcPr>
          <w:p w:rsidR="008F3A9A" w:rsidRPr="008F3A9A" w:rsidRDefault="008F3A9A" w:rsidP="008F3A9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8F3A9A">
              <w:rPr>
                <w:color w:val="000000"/>
                <w:sz w:val="22"/>
                <w:szCs w:val="22"/>
              </w:rPr>
              <w:t>49,4</w:t>
            </w:r>
          </w:p>
        </w:tc>
        <w:tc>
          <w:tcPr>
            <w:tcW w:w="2551" w:type="dxa"/>
            <w:noWrap/>
          </w:tcPr>
          <w:p w:rsidR="008F3A9A" w:rsidRPr="008F3A9A" w:rsidRDefault="008F3A9A" w:rsidP="008F3A9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8F3A9A">
              <w:rPr>
                <w:color w:val="000000"/>
                <w:sz w:val="22"/>
                <w:szCs w:val="22"/>
              </w:rPr>
              <w:t>0,421</w:t>
            </w:r>
          </w:p>
        </w:tc>
        <w:tc>
          <w:tcPr>
            <w:tcW w:w="1134" w:type="dxa"/>
            <w:noWrap/>
          </w:tcPr>
          <w:p w:rsidR="008F3A9A" w:rsidRPr="008F3A9A" w:rsidRDefault="008F3A9A" w:rsidP="008F3A9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8F3A9A">
              <w:rPr>
                <w:color w:val="000000"/>
                <w:sz w:val="22"/>
                <w:szCs w:val="22"/>
              </w:rPr>
              <w:t>-24,6</w:t>
            </w:r>
          </w:p>
        </w:tc>
      </w:tr>
      <w:tr w:rsidR="008F3A9A" w:rsidRPr="008F3A9A" w:rsidTr="008168AF">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402" w:type="dxa"/>
            <w:noWrap/>
          </w:tcPr>
          <w:p w:rsidR="008F3A9A" w:rsidRPr="008F3A9A" w:rsidRDefault="008F3A9A" w:rsidP="008F3A9A">
            <w:pPr>
              <w:spacing w:line="240" w:lineRule="auto"/>
              <w:jc w:val="center"/>
              <w:rPr>
                <w:color w:val="000000"/>
                <w:sz w:val="22"/>
                <w:szCs w:val="22"/>
              </w:rPr>
            </w:pPr>
            <w:r w:rsidRPr="008F3A9A">
              <w:rPr>
                <w:color w:val="000000"/>
                <w:sz w:val="22"/>
                <w:szCs w:val="22"/>
              </w:rPr>
              <w:t>AgNP-GA NaBH</w:t>
            </w:r>
            <w:r w:rsidRPr="008F3A9A">
              <w:rPr>
                <w:color w:val="000000"/>
                <w:sz w:val="22"/>
                <w:szCs w:val="22"/>
                <w:vertAlign w:val="subscript"/>
              </w:rPr>
              <w:t>4</w:t>
            </w:r>
            <w:r w:rsidRPr="008F3A9A">
              <w:rPr>
                <w:color w:val="000000"/>
                <w:sz w:val="22"/>
                <w:szCs w:val="22"/>
              </w:rPr>
              <w:t xml:space="preserve"> 1:10</w:t>
            </w:r>
          </w:p>
        </w:tc>
        <w:tc>
          <w:tcPr>
            <w:tcW w:w="1418" w:type="dxa"/>
            <w:noWrap/>
          </w:tcPr>
          <w:p w:rsidR="008F3A9A" w:rsidRPr="008F3A9A" w:rsidRDefault="008F3A9A" w:rsidP="008F3A9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8F3A9A">
              <w:rPr>
                <w:color w:val="000000"/>
                <w:sz w:val="22"/>
                <w:szCs w:val="22"/>
              </w:rPr>
              <w:t>53,09</w:t>
            </w:r>
          </w:p>
        </w:tc>
        <w:tc>
          <w:tcPr>
            <w:tcW w:w="2551" w:type="dxa"/>
            <w:noWrap/>
          </w:tcPr>
          <w:p w:rsidR="008F3A9A" w:rsidRPr="008F3A9A" w:rsidRDefault="008F3A9A" w:rsidP="008F3A9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8F3A9A">
              <w:rPr>
                <w:color w:val="000000"/>
                <w:sz w:val="22"/>
                <w:szCs w:val="22"/>
              </w:rPr>
              <w:t>0,3</w:t>
            </w:r>
          </w:p>
        </w:tc>
        <w:tc>
          <w:tcPr>
            <w:tcW w:w="1134" w:type="dxa"/>
            <w:noWrap/>
          </w:tcPr>
          <w:p w:rsidR="008F3A9A" w:rsidRPr="008F3A9A" w:rsidRDefault="008F3A9A" w:rsidP="008F3A9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8F3A9A">
              <w:rPr>
                <w:color w:val="000000"/>
                <w:sz w:val="22"/>
                <w:szCs w:val="22"/>
              </w:rPr>
              <w:t>-25,9</w:t>
            </w:r>
          </w:p>
        </w:tc>
      </w:tr>
      <w:tr w:rsidR="008F3A9A" w:rsidRPr="008F3A9A" w:rsidTr="008168AF">
        <w:trPr>
          <w:trHeight w:val="290"/>
          <w:jc w:val="center"/>
        </w:trPr>
        <w:tc>
          <w:tcPr>
            <w:cnfStyle w:val="001000000000" w:firstRow="0" w:lastRow="0" w:firstColumn="1" w:lastColumn="0" w:oddVBand="0" w:evenVBand="0" w:oddHBand="0" w:evenHBand="0" w:firstRowFirstColumn="0" w:firstRowLastColumn="0" w:lastRowFirstColumn="0" w:lastRowLastColumn="0"/>
            <w:tcW w:w="3402" w:type="dxa"/>
            <w:noWrap/>
          </w:tcPr>
          <w:p w:rsidR="008F3A9A" w:rsidRPr="008F3A9A" w:rsidRDefault="008F3A9A" w:rsidP="008F3A9A">
            <w:pPr>
              <w:spacing w:line="240" w:lineRule="auto"/>
              <w:jc w:val="center"/>
              <w:rPr>
                <w:color w:val="000000"/>
                <w:sz w:val="22"/>
                <w:szCs w:val="22"/>
              </w:rPr>
            </w:pPr>
            <w:r w:rsidRPr="008F3A9A">
              <w:rPr>
                <w:color w:val="000000"/>
                <w:sz w:val="22"/>
                <w:szCs w:val="22"/>
              </w:rPr>
              <w:t>AgNP-GA NaBH</w:t>
            </w:r>
            <w:r w:rsidRPr="008F3A9A">
              <w:rPr>
                <w:color w:val="000000"/>
                <w:sz w:val="22"/>
                <w:szCs w:val="22"/>
                <w:vertAlign w:val="subscript"/>
              </w:rPr>
              <w:t>4</w:t>
            </w:r>
            <w:r w:rsidRPr="008F3A9A">
              <w:rPr>
                <w:color w:val="000000"/>
                <w:sz w:val="22"/>
                <w:szCs w:val="22"/>
              </w:rPr>
              <w:t xml:space="preserve"> 1:15</w:t>
            </w:r>
          </w:p>
        </w:tc>
        <w:tc>
          <w:tcPr>
            <w:tcW w:w="1418" w:type="dxa"/>
            <w:noWrap/>
          </w:tcPr>
          <w:p w:rsidR="008F3A9A" w:rsidRPr="008F3A9A" w:rsidRDefault="008F3A9A" w:rsidP="008F3A9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8F3A9A">
              <w:rPr>
                <w:color w:val="000000"/>
                <w:sz w:val="22"/>
                <w:szCs w:val="22"/>
              </w:rPr>
              <w:t>51,85</w:t>
            </w:r>
          </w:p>
        </w:tc>
        <w:tc>
          <w:tcPr>
            <w:tcW w:w="2551" w:type="dxa"/>
            <w:noWrap/>
          </w:tcPr>
          <w:p w:rsidR="008F3A9A" w:rsidRPr="008F3A9A" w:rsidRDefault="008F3A9A" w:rsidP="008F3A9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8F3A9A">
              <w:rPr>
                <w:color w:val="000000"/>
                <w:sz w:val="22"/>
                <w:szCs w:val="22"/>
              </w:rPr>
              <w:t>0,352</w:t>
            </w:r>
          </w:p>
        </w:tc>
        <w:tc>
          <w:tcPr>
            <w:tcW w:w="1134" w:type="dxa"/>
            <w:noWrap/>
          </w:tcPr>
          <w:p w:rsidR="008F3A9A" w:rsidRPr="008F3A9A" w:rsidRDefault="008F3A9A" w:rsidP="008F3A9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8F3A9A">
              <w:rPr>
                <w:color w:val="000000"/>
                <w:sz w:val="22"/>
                <w:szCs w:val="22"/>
              </w:rPr>
              <w:t>-33,1</w:t>
            </w:r>
          </w:p>
        </w:tc>
      </w:tr>
    </w:tbl>
    <w:p w:rsidR="008168AF" w:rsidRDefault="008168AF" w:rsidP="008F3A9A">
      <w:pPr>
        <w:spacing w:line="240" w:lineRule="auto"/>
        <w:ind w:firstLine="851"/>
        <w:jc w:val="center"/>
        <w:rPr>
          <w:sz w:val="22"/>
          <w:szCs w:val="22"/>
        </w:rPr>
      </w:pPr>
      <w:r>
        <w:rPr>
          <w:sz w:val="22"/>
          <w:szCs w:val="22"/>
        </w:rPr>
        <w:t xml:space="preserve">                      </w:t>
      </w:r>
    </w:p>
    <w:p w:rsidR="00054152" w:rsidRDefault="004407CD" w:rsidP="00C101C0">
      <w:pPr>
        <w:spacing w:line="240" w:lineRule="auto"/>
        <w:rPr>
          <w:sz w:val="22"/>
          <w:szCs w:val="22"/>
        </w:rPr>
      </w:pPr>
      <w:r>
        <w:rPr>
          <w:b/>
          <w:sz w:val="22"/>
          <w:szCs w:val="22"/>
        </w:rPr>
        <w:t xml:space="preserve">    </w:t>
      </w:r>
      <w:r w:rsidR="00CA50C9">
        <w:rPr>
          <w:b/>
          <w:sz w:val="22"/>
          <w:szCs w:val="22"/>
        </w:rPr>
        <w:t xml:space="preserve">      </w:t>
      </w:r>
      <w:r w:rsidR="008168AF">
        <w:rPr>
          <w:b/>
          <w:sz w:val="22"/>
          <w:szCs w:val="22"/>
        </w:rPr>
        <w:t>Tabela</w:t>
      </w:r>
      <w:r w:rsidR="008168AF" w:rsidRPr="00FC71F5">
        <w:rPr>
          <w:b/>
          <w:sz w:val="22"/>
          <w:szCs w:val="22"/>
        </w:rPr>
        <w:t xml:space="preserve"> 1.</w:t>
      </w:r>
      <w:r w:rsidR="008168AF" w:rsidRPr="00FC71F5">
        <w:rPr>
          <w:sz w:val="22"/>
          <w:szCs w:val="22"/>
        </w:rPr>
        <w:t xml:space="preserve"> </w:t>
      </w:r>
      <w:r w:rsidR="00C101C0">
        <w:rPr>
          <w:sz w:val="22"/>
          <w:szCs w:val="22"/>
        </w:rPr>
        <w:t xml:space="preserve">Características </w:t>
      </w:r>
      <w:r w:rsidR="00CA50C9">
        <w:rPr>
          <w:sz w:val="22"/>
          <w:szCs w:val="22"/>
        </w:rPr>
        <w:t>das suspensões de AgNPs</w:t>
      </w:r>
      <w:r w:rsidR="00C101C0">
        <w:rPr>
          <w:sz w:val="22"/>
          <w:szCs w:val="22"/>
        </w:rPr>
        <w:t xml:space="preserve"> </w:t>
      </w:r>
      <w:r>
        <w:rPr>
          <w:sz w:val="22"/>
          <w:szCs w:val="22"/>
        </w:rPr>
        <w:t xml:space="preserve">obtidas por </w:t>
      </w:r>
      <w:r w:rsidRPr="0013528B">
        <w:rPr>
          <w:sz w:val="22"/>
          <w:szCs w:val="22"/>
        </w:rPr>
        <w:t>Dynamic Light Scattering (DLS).</w:t>
      </w:r>
    </w:p>
    <w:p w:rsidR="004407CD" w:rsidRDefault="004407CD" w:rsidP="00C101C0">
      <w:pPr>
        <w:spacing w:line="240" w:lineRule="auto"/>
        <w:rPr>
          <w:sz w:val="22"/>
          <w:szCs w:val="22"/>
        </w:rPr>
      </w:pPr>
    </w:p>
    <w:p w:rsidR="003D624E" w:rsidRDefault="00F05FE4" w:rsidP="007269B0">
      <w:pPr>
        <w:spacing w:line="240" w:lineRule="auto"/>
        <w:ind w:firstLine="851"/>
        <w:rPr>
          <w:sz w:val="22"/>
          <w:szCs w:val="22"/>
        </w:rPr>
      </w:pPr>
      <w:r>
        <w:rPr>
          <w:sz w:val="22"/>
          <w:szCs w:val="22"/>
        </w:rPr>
        <w:lastRenderedPageBreak/>
        <w:t>As AgNPs estabilizadas com GC apresentaram</w:t>
      </w:r>
      <w:r w:rsidR="00FC0376">
        <w:rPr>
          <w:sz w:val="22"/>
          <w:szCs w:val="22"/>
        </w:rPr>
        <w:t>-se</w:t>
      </w:r>
      <w:r>
        <w:rPr>
          <w:sz w:val="22"/>
          <w:szCs w:val="22"/>
        </w:rPr>
        <w:t xml:space="preserve"> </w:t>
      </w:r>
      <w:r w:rsidR="00FC0376">
        <w:rPr>
          <w:sz w:val="22"/>
          <w:szCs w:val="22"/>
        </w:rPr>
        <w:t>com</w:t>
      </w:r>
      <w:r>
        <w:rPr>
          <w:sz w:val="22"/>
          <w:szCs w:val="22"/>
        </w:rPr>
        <w:t xml:space="preserve"> menor tamanho</w:t>
      </w:r>
      <w:r w:rsidR="00FC0376">
        <w:rPr>
          <w:sz w:val="22"/>
          <w:szCs w:val="22"/>
        </w:rPr>
        <w:t xml:space="preserve"> e mais negativas</w:t>
      </w:r>
      <w:r>
        <w:rPr>
          <w:sz w:val="22"/>
          <w:szCs w:val="22"/>
        </w:rPr>
        <w:t xml:space="preserve"> quando </w:t>
      </w:r>
      <w:r w:rsidR="00FC0376">
        <w:rPr>
          <w:sz w:val="22"/>
          <w:szCs w:val="22"/>
        </w:rPr>
        <w:t>foi utilizada uma menor proporção do agente redutor (NaBH</w:t>
      </w:r>
      <w:r w:rsidR="00FC0376" w:rsidRPr="00FC0376">
        <w:rPr>
          <w:sz w:val="22"/>
          <w:szCs w:val="22"/>
          <w:vertAlign w:val="subscript"/>
        </w:rPr>
        <w:t>4</w:t>
      </w:r>
      <w:r w:rsidR="00FC0376">
        <w:rPr>
          <w:sz w:val="22"/>
          <w:szCs w:val="22"/>
        </w:rPr>
        <w:t xml:space="preserve"> 1:15); estas características são desejáveis, pois quanto menor o tamanho da </w:t>
      </w:r>
      <w:r w:rsidR="001714DE">
        <w:rPr>
          <w:sz w:val="22"/>
          <w:szCs w:val="22"/>
        </w:rPr>
        <w:t>NP</w:t>
      </w:r>
      <w:r w:rsidR="00FC0376">
        <w:rPr>
          <w:sz w:val="22"/>
          <w:szCs w:val="22"/>
        </w:rPr>
        <w:t xml:space="preserve">, maior a fração de átomos do material presentes em sua superfície, </w:t>
      </w:r>
      <w:r w:rsidR="00FC0376" w:rsidRPr="001714DE">
        <w:rPr>
          <w:sz w:val="22"/>
          <w:szCs w:val="22"/>
        </w:rPr>
        <w:t>proporcionando uma maior possibilidade de reação com os componentes do resíduo da impressão digital</w:t>
      </w:r>
      <w:r w:rsidR="001714DE" w:rsidRPr="001714DE">
        <w:rPr>
          <w:sz w:val="22"/>
          <w:szCs w:val="22"/>
        </w:rPr>
        <w:t xml:space="preserve"> (GUOZHONG, 2004)</w:t>
      </w:r>
      <w:r w:rsidR="001714DE">
        <w:rPr>
          <w:sz w:val="22"/>
          <w:szCs w:val="22"/>
        </w:rPr>
        <w:t xml:space="preserve">; o potencial zeta negativo teoricamente também favorece o processo de revelação, uma vez que um dos mecanismos propostos é a interação entre </w:t>
      </w:r>
      <w:r w:rsidR="001714DE" w:rsidRPr="001714DE">
        <w:rPr>
          <w:sz w:val="22"/>
          <w:szCs w:val="22"/>
        </w:rPr>
        <w:t xml:space="preserve">as proteínas </w:t>
      </w:r>
      <w:r w:rsidR="001714DE">
        <w:rPr>
          <w:sz w:val="22"/>
          <w:szCs w:val="22"/>
        </w:rPr>
        <w:t>presentes nas IDL</w:t>
      </w:r>
      <w:r w:rsidR="001714DE" w:rsidRPr="001714DE">
        <w:rPr>
          <w:sz w:val="22"/>
          <w:szCs w:val="22"/>
        </w:rPr>
        <w:t xml:space="preserve"> </w:t>
      </w:r>
      <w:r w:rsidR="001714DE">
        <w:rPr>
          <w:sz w:val="22"/>
          <w:szCs w:val="22"/>
        </w:rPr>
        <w:t>que possuem</w:t>
      </w:r>
      <w:r w:rsidR="001714DE" w:rsidRPr="001714DE">
        <w:rPr>
          <w:sz w:val="22"/>
          <w:szCs w:val="22"/>
        </w:rPr>
        <w:t xml:space="preserve"> carga positiva, com as cargas negativas do revelador (AgNP-CG ou AgNP-</w:t>
      </w:r>
      <w:r w:rsidR="001714DE">
        <w:rPr>
          <w:sz w:val="22"/>
          <w:szCs w:val="22"/>
        </w:rPr>
        <w:t>GA</w:t>
      </w:r>
      <w:r w:rsidR="001714DE" w:rsidRPr="001714DE">
        <w:rPr>
          <w:sz w:val="22"/>
          <w:szCs w:val="22"/>
        </w:rPr>
        <w:t>)</w:t>
      </w:r>
      <w:r w:rsidR="001714DE">
        <w:rPr>
          <w:sz w:val="22"/>
          <w:szCs w:val="22"/>
        </w:rPr>
        <w:t xml:space="preserve"> (FARIA, 2016)</w:t>
      </w:r>
      <w:r w:rsidR="001714DE" w:rsidRPr="001714DE">
        <w:rPr>
          <w:sz w:val="22"/>
          <w:szCs w:val="22"/>
        </w:rPr>
        <w:t>.</w:t>
      </w:r>
      <w:r w:rsidR="000941DE">
        <w:rPr>
          <w:sz w:val="22"/>
          <w:szCs w:val="22"/>
        </w:rPr>
        <w:t xml:space="preserve"> No entanto, quando a concentração do agente redutor foi a máxima testada (NaBH</w:t>
      </w:r>
      <w:r w:rsidR="000941DE" w:rsidRPr="00FC0376">
        <w:rPr>
          <w:sz w:val="22"/>
          <w:szCs w:val="22"/>
          <w:vertAlign w:val="subscript"/>
        </w:rPr>
        <w:t>4</w:t>
      </w:r>
      <w:r w:rsidR="000941DE">
        <w:rPr>
          <w:sz w:val="22"/>
          <w:szCs w:val="22"/>
        </w:rPr>
        <w:t xml:space="preserve"> 1:1), as AgNPs-GC apresentaram distribuiç</w:t>
      </w:r>
      <w:r w:rsidR="003D624E">
        <w:rPr>
          <w:sz w:val="22"/>
          <w:szCs w:val="22"/>
        </w:rPr>
        <w:t>ão mais uniforme.</w:t>
      </w:r>
      <w:r w:rsidR="007269B0">
        <w:rPr>
          <w:sz w:val="22"/>
          <w:szCs w:val="22"/>
        </w:rPr>
        <w:t xml:space="preserve"> </w:t>
      </w:r>
      <w:r w:rsidR="003D624E">
        <w:rPr>
          <w:sz w:val="22"/>
          <w:szCs w:val="22"/>
        </w:rPr>
        <w:t xml:space="preserve">Quando a GA foi utilizada como estabilizante, as AgNPs </w:t>
      </w:r>
      <w:r w:rsidR="00977690">
        <w:rPr>
          <w:sz w:val="22"/>
          <w:szCs w:val="22"/>
        </w:rPr>
        <w:t xml:space="preserve">com </w:t>
      </w:r>
      <w:r w:rsidR="003D624E">
        <w:rPr>
          <w:sz w:val="22"/>
          <w:szCs w:val="22"/>
        </w:rPr>
        <w:t>NaBH</w:t>
      </w:r>
      <w:r w:rsidR="003D624E" w:rsidRPr="003D624E">
        <w:rPr>
          <w:sz w:val="22"/>
          <w:szCs w:val="22"/>
          <w:vertAlign w:val="subscript"/>
        </w:rPr>
        <w:t>4</w:t>
      </w:r>
      <w:r w:rsidR="003D624E">
        <w:rPr>
          <w:sz w:val="22"/>
          <w:szCs w:val="22"/>
        </w:rPr>
        <w:t xml:space="preserve"> 1:1 (maior quantidade de agente redutor) apresentaram menor tamanho, efeito oposto ao observado na GC; porém, o potencial zeta </w:t>
      </w:r>
      <w:r w:rsidR="00977690">
        <w:rPr>
          <w:sz w:val="22"/>
          <w:szCs w:val="22"/>
        </w:rPr>
        <w:t>evidenciou</w:t>
      </w:r>
      <w:r w:rsidR="003D624E">
        <w:rPr>
          <w:sz w:val="22"/>
          <w:szCs w:val="22"/>
        </w:rPr>
        <w:t xml:space="preserve"> a mesma tendência</w:t>
      </w:r>
      <w:r w:rsidR="00977690">
        <w:rPr>
          <w:sz w:val="22"/>
          <w:szCs w:val="22"/>
        </w:rPr>
        <w:t>, ou seja, as AgNPs apresentaram-se mais negativas quando a proporção de NaBH</w:t>
      </w:r>
      <w:r w:rsidR="00977690" w:rsidRPr="00977690">
        <w:rPr>
          <w:sz w:val="22"/>
          <w:szCs w:val="22"/>
          <w:vertAlign w:val="subscript"/>
        </w:rPr>
        <w:t>4</w:t>
      </w:r>
      <w:r w:rsidR="000E7254">
        <w:rPr>
          <w:sz w:val="22"/>
          <w:szCs w:val="22"/>
        </w:rPr>
        <w:t xml:space="preserve"> foi 1:15. As AgNPs-</w:t>
      </w:r>
      <w:r w:rsidR="00977690">
        <w:rPr>
          <w:sz w:val="22"/>
          <w:szCs w:val="22"/>
        </w:rPr>
        <w:t>GA NaBH</w:t>
      </w:r>
      <w:r w:rsidR="00977690" w:rsidRPr="00977690">
        <w:rPr>
          <w:sz w:val="22"/>
          <w:szCs w:val="22"/>
          <w:vertAlign w:val="subscript"/>
        </w:rPr>
        <w:t>4</w:t>
      </w:r>
      <w:r w:rsidR="00977690">
        <w:rPr>
          <w:sz w:val="22"/>
          <w:szCs w:val="22"/>
        </w:rPr>
        <w:t xml:space="preserve"> 1:10 foram as que apresentaram distribuição mais uniforme.</w:t>
      </w:r>
    </w:p>
    <w:p w:rsidR="00F665B0" w:rsidRDefault="004C031B" w:rsidP="004C031B">
      <w:pPr>
        <w:spacing w:line="240" w:lineRule="auto"/>
        <w:ind w:firstLine="851"/>
        <w:rPr>
          <w:sz w:val="22"/>
          <w:szCs w:val="22"/>
        </w:rPr>
      </w:pPr>
      <w:r>
        <w:rPr>
          <w:sz w:val="22"/>
          <w:szCs w:val="22"/>
        </w:rPr>
        <w:t>Resultados de microscopia eletrônica de transmissão (M</w:t>
      </w:r>
      <w:r w:rsidR="008F7FD4">
        <w:rPr>
          <w:sz w:val="22"/>
          <w:szCs w:val="22"/>
        </w:rPr>
        <w:t>ET</w:t>
      </w:r>
      <w:r>
        <w:rPr>
          <w:sz w:val="22"/>
          <w:szCs w:val="22"/>
        </w:rPr>
        <w:t xml:space="preserve">) </w:t>
      </w:r>
      <w:r w:rsidR="000E7254">
        <w:rPr>
          <w:sz w:val="22"/>
          <w:szCs w:val="22"/>
        </w:rPr>
        <w:t xml:space="preserve">se </w:t>
      </w:r>
      <w:r>
        <w:rPr>
          <w:sz w:val="22"/>
          <w:szCs w:val="22"/>
        </w:rPr>
        <w:t>mostraram concordantes com o DLS</w:t>
      </w:r>
      <w:r w:rsidR="000E7254">
        <w:rPr>
          <w:sz w:val="22"/>
          <w:szCs w:val="22"/>
        </w:rPr>
        <w:t>,</w:t>
      </w:r>
      <w:r>
        <w:rPr>
          <w:sz w:val="22"/>
          <w:szCs w:val="22"/>
        </w:rPr>
        <w:t xml:space="preserve"> sendo as nanoparticulas com </w:t>
      </w:r>
      <w:r w:rsidR="000E7254">
        <w:rPr>
          <w:sz w:val="22"/>
          <w:szCs w:val="22"/>
        </w:rPr>
        <w:t xml:space="preserve">tamanho médio entre 40 a 60 nm. </w:t>
      </w:r>
      <w:r w:rsidR="00F665B0">
        <w:rPr>
          <w:sz w:val="22"/>
          <w:szCs w:val="22"/>
        </w:rPr>
        <w:t xml:space="preserve">Diante destes resultados, pode-se sugerir a AgNP-GC NaBH4 1:15 como melhor formulação para revelação de IDL, uma vez que apresenta características mais adequadas com menores concentrações de reagentes, o que provoca um menor impacto no meio ambiente e saúde dos peritos que venham a manipular tais substâncias em </w:t>
      </w:r>
      <w:r w:rsidR="008F7FD4">
        <w:rPr>
          <w:sz w:val="22"/>
          <w:szCs w:val="22"/>
        </w:rPr>
        <w:t xml:space="preserve">seu </w:t>
      </w:r>
      <w:r w:rsidR="00F665B0">
        <w:rPr>
          <w:sz w:val="22"/>
          <w:szCs w:val="22"/>
        </w:rPr>
        <w:t>cotidiano laboral.</w:t>
      </w:r>
    </w:p>
    <w:p w:rsidR="00080F6F" w:rsidRDefault="00080F6F" w:rsidP="0065142A">
      <w:pPr>
        <w:pStyle w:val="Nivel1"/>
        <w:spacing w:line="240" w:lineRule="auto"/>
        <w:rPr>
          <w:sz w:val="20"/>
          <w:szCs w:val="22"/>
        </w:rPr>
      </w:pPr>
      <w:bookmarkStart w:id="1" w:name="_Toc311228598"/>
    </w:p>
    <w:p w:rsidR="0065142A" w:rsidRPr="00FC71F5" w:rsidRDefault="0065142A" w:rsidP="0065142A">
      <w:pPr>
        <w:pStyle w:val="Nivel1"/>
        <w:spacing w:line="240" w:lineRule="auto"/>
        <w:rPr>
          <w:sz w:val="20"/>
          <w:szCs w:val="22"/>
        </w:rPr>
      </w:pPr>
      <w:r w:rsidRPr="00FC71F5">
        <w:rPr>
          <w:sz w:val="20"/>
          <w:szCs w:val="22"/>
        </w:rPr>
        <w:t>REFERÊNCIAS BIBLIOGRÁFICAS</w:t>
      </w:r>
      <w:bookmarkEnd w:id="1"/>
    </w:p>
    <w:p w:rsidR="00E044ED" w:rsidRPr="00677D02" w:rsidRDefault="0065142A" w:rsidP="0065142A">
      <w:pPr>
        <w:spacing w:line="240" w:lineRule="auto"/>
        <w:rPr>
          <w:bCs/>
          <w:sz w:val="20"/>
          <w:szCs w:val="22"/>
          <w:lang w:val="en-GB"/>
        </w:rPr>
      </w:pPr>
      <w:r w:rsidRPr="00E044ED">
        <w:rPr>
          <w:sz w:val="20"/>
          <w:szCs w:val="20"/>
        </w:rPr>
        <w:t>1.</w:t>
      </w:r>
      <w:r w:rsidR="00E044ED" w:rsidRPr="00E044ED">
        <w:rPr>
          <w:sz w:val="20"/>
          <w:szCs w:val="20"/>
        </w:rPr>
        <w:t xml:space="preserve"> </w:t>
      </w:r>
      <w:r w:rsidR="00E044ED" w:rsidRPr="00E044ED">
        <w:rPr>
          <w:noProof/>
          <w:sz w:val="20"/>
          <w:szCs w:val="20"/>
        </w:rPr>
        <w:t xml:space="preserve">CHOI, M. J. et al. </w:t>
      </w:r>
      <w:r w:rsidR="00E044ED" w:rsidRPr="00677D02">
        <w:rPr>
          <w:noProof/>
          <w:sz w:val="20"/>
          <w:szCs w:val="20"/>
          <w:lang w:val="en-GB"/>
        </w:rPr>
        <w:t xml:space="preserve">Metal-containing nanoparticles and nano-structured particles in fingermark detection. </w:t>
      </w:r>
      <w:r w:rsidR="00E044ED" w:rsidRPr="00677D02">
        <w:rPr>
          <w:b/>
          <w:bCs/>
          <w:noProof/>
          <w:sz w:val="20"/>
          <w:szCs w:val="20"/>
          <w:lang w:val="en-GB"/>
        </w:rPr>
        <w:t>Forensic Science International</w:t>
      </w:r>
      <w:r w:rsidR="00E044ED" w:rsidRPr="00677D02">
        <w:rPr>
          <w:noProof/>
          <w:sz w:val="20"/>
          <w:szCs w:val="20"/>
          <w:lang w:val="en-GB"/>
        </w:rPr>
        <w:t>, v. 179, n. 2–3, p. 87–97, 6 ago. 2008</w:t>
      </w:r>
      <w:r w:rsidR="00E044ED" w:rsidRPr="00677D02">
        <w:rPr>
          <w:bCs/>
          <w:sz w:val="20"/>
          <w:szCs w:val="22"/>
          <w:lang w:val="en-GB"/>
        </w:rPr>
        <w:t>.</w:t>
      </w:r>
    </w:p>
    <w:p w:rsidR="001D2633" w:rsidRPr="00677D02" w:rsidRDefault="0065142A" w:rsidP="00E044ED">
      <w:pPr>
        <w:spacing w:line="240" w:lineRule="auto"/>
        <w:rPr>
          <w:noProof/>
          <w:sz w:val="20"/>
          <w:szCs w:val="20"/>
          <w:lang w:val="en-GB"/>
        </w:rPr>
      </w:pPr>
      <w:r w:rsidRPr="00677D02">
        <w:rPr>
          <w:sz w:val="20"/>
          <w:szCs w:val="20"/>
          <w:lang w:val="en-GB"/>
        </w:rPr>
        <w:t xml:space="preserve">2. </w:t>
      </w:r>
      <w:r w:rsidR="00E044ED" w:rsidRPr="00677D02">
        <w:rPr>
          <w:noProof/>
          <w:sz w:val="20"/>
          <w:szCs w:val="20"/>
          <w:lang w:val="en-GB"/>
        </w:rPr>
        <w:t xml:space="preserve">BECUE, A. et al. Use of stains to detect fingermarks. </w:t>
      </w:r>
      <w:r w:rsidR="00E044ED" w:rsidRPr="00677D02">
        <w:rPr>
          <w:b/>
          <w:bCs/>
          <w:noProof/>
          <w:sz w:val="20"/>
          <w:szCs w:val="20"/>
          <w:lang w:val="en-GB"/>
        </w:rPr>
        <w:t>Biotechnic &amp; histochemistry : official publication of the Biological Stain Commission</w:t>
      </w:r>
      <w:r w:rsidR="00E044ED" w:rsidRPr="00677D02">
        <w:rPr>
          <w:noProof/>
          <w:sz w:val="20"/>
          <w:szCs w:val="20"/>
          <w:lang w:val="en-GB"/>
        </w:rPr>
        <w:t xml:space="preserve">, v. 86, n. 3, p. 140–160, jun. 2011. </w:t>
      </w:r>
    </w:p>
    <w:p w:rsidR="002D39DD" w:rsidRPr="00677D02" w:rsidRDefault="00A9625C" w:rsidP="00E044ED">
      <w:pPr>
        <w:spacing w:line="240" w:lineRule="auto"/>
        <w:rPr>
          <w:sz w:val="20"/>
          <w:szCs w:val="20"/>
          <w:lang w:val="en-GB"/>
        </w:rPr>
      </w:pPr>
      <w:r>
        <w:rPr>
          <w:sz w:val="20"/>
          <w:szCs w:val="20"/>
        </w:rPr>
        <w:t>3</w:t>
      </w:r>
      <w:r w:rsidR="002D39DD">
        <w:rPr>
          <w:sz w:val="20"/>
          <w:szCs w:val="20"/>
        </w:rPr>
        <w:t>. FARIA, B. Produção e caracterização de nanopartículas de prata estabilizadas com polissacarídeos da goma do cajueiro: perspectivas na papiloscopia forense. 2016.</w:t>
      </w:r>
      <w:r w:rsidR="00345CEA">
        <w:rPr>
          <w:sz w:val="20"/>
          <w:szCs w:val="20"/>
        </w:rPr>
        <w:t xml:space="preserve"> 64 f</w:t>
      </w:r>
      <w:r w:rsidR="002D39DD">
        <w:rPr>
          <w:sz w:val="20"/>
          <w:szCs w:val="20"/>
        </w:rPr>
        <w:t>.</w:t>
      </w:r>
      <w:r w:rsidR="00345CEA">
        <w:rPr>
          <w:sz w:val="20"/>
          <w:szCs w:val="20"/>
        </w:rPr>
        <w:t xml:space="preserve"> Dissertação (Mestrado em Ciências Médicas) – Faculdade de Medicina, Universidade de Brasília, Brasília. </w:t>
      </w:r>
      <w:r w:rsidR="00345CEA" w:rsidRPr="00677D02">
        <w:rPr>
          <w:sz w:val="20"/>
          <w:szCs w:val="20"/>
          <w:lang w:val="en-GB"/>
        </w:rPr>
        <w:t>2016.</w:t>
      </w:r>
    </w:p>
    <w:p w:rsidR="0092691D" w:rsidRPr="00677D02" w:rsidRDefault="00A9625C" w:rsidP="00E044ED">
      <w:pPr>
        <w:spacing w:line="240" w:lineRule="auto"/>
        <w:rPr>
          <w:sz w:val="20"/>
          <w:szCs w:val="20"/>
          <w:lang w:val="en-GB"/>
        </w:rPr>
      </w:pPr>
      <w:r>
        <w:rPr>
          <w:sz w:val="20"/>
          <w:szCs w:val="20"/>
          <w:lang w:val="en-GB"/>
        </w:rPr>
        <w:t>4</w:t>
      </w:r>
      <w:r w:rsidR="0092691D" w:rsidRPr="00677D02">
        <w:rPr>
          <w:sz w:val="20"/>
          <w:szCs w:val="20"/>
          <w:lang w:val="en-GB"/>
        </w:rPr>
        <w:t xml:space="preserve">. </w:t>
      </w:r>
      <w:r w:rsidR="0092691D">
        <w:rPr>
          <w:sz w:val="20"/>
          <w:szCs w:val="20"/>
          <w:lang w:val="en-US"/>
        </w:rPr>
        <w:t>GUOZHONG, C</w:t>
      </w:r>
      <w:r w:rsidR="0092691D" w:rsidRPr="0092691D">
        <w:rPr>
          <w:sz w:val="20"/>
          <w:szCs w:val="20"/>
          <w:lang w:val="en-US"/>
        </w:rPr>
        <w:t>.  Nanoestructures and nanomaterials</w:t>
      </w:r>
      <w:r w:rsidR="0092691D">
        <w:rPr>
          <w:sz w:val="20"/>
          <w:szCs w:val="20"/>
          <w:lang w:val="en-US"/>
        </w:rPr>
        <w:t>. EUA</w:t>
      </w:r>
      <w:r w:rsidR="0092691D" w:rsidRPr="0092691D">
        <w:rPr>
          <w:sz w:val="20"/>
          <w:szCs w:val="20"/>
          <w:lang w:val="en-US"/>
        </w:rPr>
        <w:t>: ISBN 1-86094-4159</w:t>
      </w:r>
      <w:r w:rsidR="0092691D">
        <w:rPr>
          <w:sz w:val="20"/>
          <w:szCs w:val="20"/>
          <w:lang w:val="en-US"/>
        </w:rPr>
        <w:t>.</w:t>
      </w:r>
      <w:r w:rsidR="0092691D" w:rsidRPr="0092691D">
        <w:rPr>
          <w:sz w:val="20"/>
          <w:szCs w:val="20"/>
          <w:lang w:val="en-US"/>
        </w:rPr>
        <w:t xml:space="preserve"> Imperial c</w:t>
      </w:r>
      <w:r w:rsidR="0092691D">
        <w:rPr>
          <w:sz w:val="20"/>
          <w:szCs w:val="20"/>
          <w:lang w:val="en-US"/>
        </w:rPr>
        <w:t>ollege press, 2004, p</w:t>
      </w:r>
      <w:r w:rsidR="0092691D" w:rsidRPr="0092691D">
        <w:rPr>
          <w:sz w:val="20"/>
          <w:szCs w:val="20"/>
          <w:lang w:val="en-US"/>
        </w:rPr>
        <w:t xml:space="preserve"> 36 – 42.</w:t>
      </w:r>
    </w:p>
    <w:sectPr w:rsidR="0092691D" w:rsidRPr="00677D02" w:rsidSect="003037F9">
      <w:headerReference w:type="default" r:id="rId11"/>
      <w:footerReference w:type="default" r:id="rId12"/>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C9C" w:rsidRDefault="007E7C9C" w:rsidP="003752F7">
      <w:pPr>
        <w:spacing w:line="240" w:lineRule="auto"/>
      </w:pPr>
      <w:r>
        <w:separator/>
      </w:r>
    </w:p>
  </w:endnote>
  <w:endnote w:type="continuationSeparator" w:id="0">
    <w:p w:rsidR="007E7C9C" w:rsidRDefault="007E7C9C"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637501">
          <w:rPr>
            <w:noProof/>
            <w:sz w:val="20"/>
            <w:szCs w:val="20"/>
          </w:rPr>
          <w:t>1</w:t>
        </w:r>
        <w:r w:rsidRPr="003752F7">
          <w:rPr>
            <w:sz w:val="20"/>
            <w:szCs w:val="20"/>
          </w:rPr>
          <w:fldChar w:fldCharType="end"/>
        </w:r>
      </w:p>
    </w:sdtContent>
  </w:sdt>
  <w:p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C9C" w:rsidRDefault="007E7C9C" w:rsidP="003752F7">
      <w:pPr>
        <w:spacing w:line="240" w:lineRule="auto"/>
      </w:pPr>
      <w:r>
        <w:separator/>
      </w:r>
    </w:p>
  </w:footnote>
  <w:footnote w:type="continuationSeparator" w:id="0">
    <w:p w:rsidR="007E7C9C" w:rsidRDefault="007E7C9C"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rnacional de Perícia Criminal e</w:t>
    </w:r>
  </w:p>
  <w:p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51A3B"/>
    <w:rsid w:val="00053737"/>
    <w:rsid w:val="00053FCD"/>
    <w:rsid w:val="00054152"/>
    <w:rsid w:val="00080175"/>
    <w:rsid w:val="00080F6F"/>
    <w:rsid w:val="00090BA6"/>
    <w:rsid w:val="000941DE"/>
    <w:rsid w:val="000B38F5"/>
    <w:rsid w:val="000C67DF"/>
    <w:rsid w:val="000C6C07"/>
    <w:rsid w:val="000D64F7"/>
    <w:rsid w:val="000D6B4E"/>
    <w:rsid w:val="000E490F"/>
    <w:rsid w:val="000E62DA"/>
    <w:rsid w:val="000E7254"/>
    <w:rsid w:val="001052AA"/>
    <w:rsid w:val="00115C7E"/>
    <w:rsid w:val="0012394C"/>
    <w:rsid w:val="00123D94"/>
    <w:rsid w:val="0013528B"/>
    <w:rsid w:val="001451DD"/>
    <w:rsid w:val="0015364A"/>
    <w:rsid w:val="001624D7"/>
    <w:rsid w:val="00167EE0"/>
    <w:rsid w:val="001714DE"/>
    <w:rsid w:val="0018033F"/>
    <w:rsid w:val="001847FE"/>
    <w:rsid w:val="00196018"/>
    <w:rsid w:val="001978D2"/>
    <w:rsid w:val="001A2428"/>
    <w:rsid w:val="001A35F9"/>
    <w:rsid w:val="001A3F23"/>
    <w:rsid w:val="001A5588"/>
    <w:rsid w:val="001A715A"/>
    <w:rsid w:val="001B3C69"/>
    <w:rsid w:val="001D2633"/>
    <w:rsid w:val="001D7643"/>
    <w:rsid w:val="001E1232"/>
    <w:rsid w:val="001E15C4"/>
    <w:rsid w:val="001E221F"/>
    <w:rsid w:val="001F5735"/>
    <w:rsid w:val="00244839"/>
    <w:rsid w:val="00247455"/>
    <w:rsid w:val="00251C8D"/>
    <w:rsid w:val="00256A86"/>
    <w:rsid w:val="00262CE0"/>
    <w:rsid w:val="00272C6D"/>
    <w:rsid w:val="00273933"/>
    <w:rsid w:val="00281DFF"/>
    <w:rsid w:val="00293268"/>
    <w:rsid w:val="00293989"/>
    <w:rsid w:val="002A1F55"/>
    <w:rsid w:val="002C1772"/>
    <w:rsid w:val="002C1DE6"/>
    <w:rsid w:val="002D39DD"/>
    <w:rsid w:val="002F52E9"/>
    <w:rsid w:val="002F7B50"/>
    <w:rsid w:val="003037F9"/>
    <w:rsid w:val="003212D0"/>
    <w:rsid w:val="0032165A"/>
    <w:rsid w:val="00334F29"/>
    <w:rsid w:val="00337F5B"/>
    <w:rsid w:val="00345CEA"/>
    <w:rsid w:val="0034706C"/>
    <w:rsid w:val="00353468"/>
    <w:rsid w:val="00357D88"/>
    <w:rsid w:val="00372A5D"/>
    <w:rsid w:val="003752F7"/>
    <w:rsid w:val="0037720B"/>
    <w:rsid w:val="00382120"/>
    <w:rsid w:val="003928AB"/>
    <w:rsid w:val="003D455E"/>
    <w:rsid w:val="003D624E"/>
    <w:rsid w:val="003E761E"/>
    <w:rsid w:val="003F0931"/>
    <w:rsid w:val="003F6A7C"/>
    <w:rsid w:val="00423161"/>
    <w:rsid w:val="00425FB9"/>
    <w:rsid w:val="004264DD"/>
    <w:rsid w:val="004407CD"/>
    <w:rsid w:val="00442AB9"/>
    <w:rsid w:val="00460049"/>
    <w:rsid w:val="004600AE"/>
    <w:rsid w:val="00460CF2"/>
    <w:rsid w:val="00473BD3"/>
    <w:rsid w:val="00474F95"/>
    <w:rsid w:val="00486A9E"/>
    <w:rsid w:val="00491EA9"/>
    <w:rsid w:val="004A1F23"/>
    <w:rsid w:val="004B1A67"/>
    <w:rsid w:val="004C031B"/>
    <w:rsid w:val="004D63F0"/>
    <w:rsid w:val="004D6CE8"/>
    <w:rsid w:val="004D7262"/>
    <w:rsid w:val="004E1122"/>
    <w:rsid w:val="004F21E1"/>
    <w:rsid w:val="0051281F"/>
    <w:rsid w:val="00514489"/>
    <w:rsid w:val="00516CB0"/>
    <w:rsid w:val="005342A4"/>
    <w:rsid w:val="00535C25"/>
    <w:rsid w:val="00541B84"/>
    <w:rsid w:val="00541C6C"/>
    <w:rsid w:val="00543A8C"/>
    <w:rsid w:val="00547ABE"/>
    <w:rsid w:val="0055601A"/>
    <w:rsid w:val="0056168D"/>
    <w:rsid w:val="00567BA9"/>
    <w:rsid w:val="00571EAF"/>
    <w:rsid w:val="00574542"/>
    <w:rsid w:val="0057510C"/>
    <w:rsid w:val="0059109E"/>
    <w:rsid w:val="00595933"/>
    <w:rsid w:val="00596AD6"/>
    <w:rsid w:val="005A5F31"/>
    <w:rsid w:val="005A71F4"/>
    <w:rsid w:val="005B6216"/>
    <w:rsid w:val="005D3B1F"/>
    <w:rsid w:val="005E0339"/>
    <w:rsid w:val="005E50E3"/>
    <w:rsid w:val="005E75EF"/>
    <w:rsid w:val="006028E9"/>
    <w:rsid w:val="006044B2"/>
    <w:rsid w:val="00606784"/>
    <w:rsid w:val="006347BF"/>
    <w:rsid w:val="00637501"/>
    <w:rsid w:val="006378FF"/>
    <w:rsid w:val="00647C59"/>
    <w:rsid w:val="0065142A"/>
    <w:rsid w:val="00672251"/>
    <w:rsid w:val="006762AA"/>
    <w:rsid w:val="00677924"/>
    <w:rsid w:val="00677D02"/>
    <w:rsid w:val="00690E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48BD"/>
    <w:rsid w:val="007269B0"/>
    <w:rsid w:val="00733C52"/>
    <w:rsid w:val="00734E3C"/>
    <w:rsid w:val="00746985"/>
    <w:rsid w:val="00755A52"/>
    <w:rsid w:val="0078302E"/>
    <w:rsid w:val="00784AD1"/>
    <w:rsid w:val="007902BD"/>
    <w:rsid w:val="0079623C"/>
    <w:rsid w:val="007A109C"/>
    <w:rsid w:val="007A77A4"/>
    <w:rsid w:val="007C522E"/>
    <w:rsid w:val="007D0DBB"/>
    <w:rsid w:val="007E2E1A"/>
    <w:rsid w:val="007E7C9C"/>
    <w:rsid w:val="0080108D"/>
    <w:rsid w:val="008039FA"/>
    <w:rsid w:val="00804B34"/>
    <w:rsid w:val="00811620"/>
    <w:rsid w:val="00813F18"/>
    <w:rsid w:val="008168AF"/>
    <w:rsid w:val="00817160"/>
    <w:rsid w:val="00821CAD"/>
    <w:rsid w:val="00824730"/>
    <w:rsid w:val="00832F16"/>
    <w:rsid w:val="00851165"/>
    <w:rsid w:val="008572CF"/>
    <w:rsid w:val="00857E91"/>
    <w:rsid w:val="00860EDC"/>
    <w:rsid w:val="00884FF6"/>
    <w:rsid w:val="008949B2"/>
    <w:rsid w:val="008B5B05"/>
    <w:rsid w:val="008D7AB4"/>
    <w:rsid w:val="008E2991"/>
    <w:rsid w:val="008F3A9A"/>
    <w:rsid w:val="008F7FD4"/>
    <w:rsid w:val="00910D22"/>
    <w:rsid w:val="009217B6"/>
    <w:rsid w:val="0092691D"/>
    <w:rsid w:val="00941837"/>
    <w:rsid w:val="00950EFD"/>
    <w:rsid w:val="00973188"/>
    <w:rsid w:val="00977690"/>
    <w:rsid w:val="00987E5E"/>
    <w:rsid w:val="009A202B"/>
    <w:rsid w:val="009A5F55"/>
    <w:rsid w:val="009C3761"/>
    <w:rsid w:val="009C4AC1"/>
    <w:rsid w:val="009E0435"/>
    <w:rsid w:val="009E14AC"/>
    <w:rsid w:val="009E4343"/>
    <w:rsid w:val="009E4AE7"/>
    <w:rsid w:val="009F3B49"/>
    <w:rsid w:val="009F4702"/>
    <w:rsid w:val="009F60BF"/>
    <w:rsid w:val="00A049AE"/>
    <w:rsid w:val="00A30721"/>
    <w:rsid w:val="00A37102"/>
    <w:rsid w:val="00A51761"/>
    <w:rsid w:val="00A5398B"/>
    <w:rsid w:val="00A6702D"/>
    <w:rsid w:val="00A81023"/>
    <w:rsid w:val="00A8145E"/>
    <w:rsid w:val="00A9079D"/>
    <w:rsid w:val="00A9585D"/>
    <w:rsid w:val="00A9625C"/>
    <w:rsid w:val="00AE4966"/>
    <w:rsid w:val="00AE583C"/>
    <w:rsid w:val="00AF0BDD"/>
    <w:rsid w:val="00B00282"/>
    <w:rsid w:val="00B008DD"/>
    <w:rsid w:val="00B21E36"/>
    <w:rsid w:val="00B2671D"/>
    <w:rsid w:val="00B30B26"/>
    <w:rsid w:val="00B32F1D"/>
    <w:rsid w:val="00B33D8A"/>
    <w:rsid w:val="00B462A0"/>
    <w:rsid w:val="00B50074"/>
    <w:rsid w:val="00B702A7"/>
    <w:rsid w:val="00B80A8A"/>
    <w:rsid w:val="00B81B4D"/>
    <w:rsid w:val="00BA23C0"/>
    <w:rsid w:val="00BA44CE"/>
    <w:rsid w:val="00BD2918"/>
    <w:rsid w:val="00BF6353"/>
    <w:rsid w:val="00C101C0"/>
    <w:rsid w:val="00C11825"/>
    <w:rsid w:val="00C1748C"/>
    <w:rsid w:val="00C26C44"/>
    <w:rsid w:val="00C630D3"/>
    <w:rsid w:val="00C86D3A"/>
    <w:rsid w:val="00C92FC6"/>
    <w:rsid w:val="00C92FFA"/>
    <w:rsid w:val="00CA50C9"/>
    <w:rsid w:val="00CA7450"/>
    <w:rsid w:val="00CC0AEB"/>
    <w:rsid w:val="00CC6B7D"/>
    <w:rsid w:val="00CC7593"/>
    <w:rsid w:val="00CE4C43"/>
    <w:rsid w:val="00CE6D58"/>
    <w:rsid w:val="00CF0B20"/>
    <w:rsid w:val="00CF3290"/>
    <w:rsid w:val="00CF5D2A"/>
    <w:rsid w:val="00D026FA"/>
    <w:rsid w:val="00D03AB2"/>
    <w:rsid w:val="00D07C04"/>
    <w:rsid w:val="00D31E9E"/>
    <w:rsid w:val="00D348C0"/>
    <w:rsid w:val="00D55EBC"/>
    <w:rsid w:val="00D6094C"/>
    <w:rsid w:val="00D66DB9"/>
    <w:rsid w:val="00D7559F"/>
    <w:rsid w:val="00D83186"/>
    <w:rsid w:val="00D85888"/>
    <w:rsid w:val="00DB64DF"/>
    <w:rsid w:val="00DC0E24"/>
    <w:rsid w:val="00DD690F"/>
    <w:rsid w:val="00DE2ADD"/>
    <w:rsid w:val="00DF7C5F"/>
    <w:rsid w:val="00E044ED"/>
    <w:rsid w:val="00E30AA9"/>
    <w:rsid w:val="00E31542"/>
    <w:rsid w:val="00E573A1"/>
    <w:rsid w:val="00E65FFC"/>
    <w:rsid w:val="00E82950"/>
    <w:rsid w:val="00E97951"/>
    <w:rsid w:val="00E979DF"/>
    <w:rsid w:val="00EA3AA3"/>
    <w:rsid w:val="00EA47BE"/>
    <w:rsid w:val="00EA4AD4"/>
    <w:rsid w:val="00EB53E8"/>
    <w:rsid w:val="00EC6C1D"/>
    <w:rsid w:val="00EE266E"/>
    <w:rsid w:val="00EE70EE"/>
    <w:rsid w:val="00F05FE4"/>
    <w:rsid w:val="00F10ED3"/>
    <w:rsid w:val="00F11B6C"/>
    <w:rsid w:val="00F15E18"/>
    <w:rsid w:val="00F22F39"/>
    <w:rsid w:val="00F363E3"/>
    <w:rsid w:val="00F42EBD"/>
    <w:rsid w:val="00F50A50"/>
    <w:rsid w:val="00F513A4"/>
    <w:rsid w:val="00F525A4"/>
    <w:rsid w:val="00F6162F"/>
    <w:rsid w:val="00F665B0"/>
    <w:rsid w:val="00F80A2A"/>
    <w:rsid w:val="00F90DCE"/>
    <w:rsid w:val="00FB34C0"/>
    <w:rsid w:val="00FB6D6C"/>
    <w:rsid w:val="00FC0376"/>
    <w:rsid w:val="00FC2E7B"/>
    <w:rsid w:val="00FC3308"/>
    <w:rsid w:val="00FC71F5"/>
    <w:rsid w:val="00FD150A"/>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table" w:customStyle="1" w:styleId="PlainTable5">
    <w:name w:val="Plain Table 5"/>
    <w:basedOn w:val="Tabelanormal"/>
    <w:uiPriority w:val="45"/>
    <w:rsid w:val="008168AF"/>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Tabelanormal"/>
    <w:uiPriority w:val="47"/>
    <w:rsid w:val="008168AF"/>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table" w:customStyle="1" w:styleId="PlainTable5">
    <w:name w:val="Plain Table 5"/>
    <w:basedOn w:val="Tabelanormal"/>
    <w:uiPriority w:val="45"/>
    <w:rsid w:val="008168AF"/>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Tabelanormal"/>
    <w:uiPriority w:val="47"/>
    <w:rsid w:val="008168AF"/>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491AA-2F1F-4CBE-BC24-245AB8D9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1396</Words>
  <Characters>7544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2017-07-19T20:21:00Z</dcterms:created>
  <dcterms:modified xsi:type="dcterms:W3CDTF">2017-07-19T20:21:00Z</dcterms:modified>
</cp:coreProperties>
</file>