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341D" w14:textId="77777777" w:rsidR="00854006" w:rsidRDefault="00854006" w:rsidP="00854006">
      <w:pPr>
        <w:spacing w:line="240" w:lineRule="auto"/>
        <w:jc w:val="center"/>
        <w:rPr>
          <w:b/>
        </w:rPr>
      </w:pPr>
    </w:p>
    <w:p w14:paraId="2EDD1613" w14:textId="77777777" w:rsidR="00854006" w:rsidRDefault="00854006" w:rsidP="00854006">
      <w:pPr>
        <w:spacing w:line="240" w:lineRule="auto"/>
        <w:jc w:val="center"/>
        <w:rPr>
          <w:b/>
          <w:sz w:val="28"/>
        </w:rPr>
      </w:pPr>
      <w:r w:rsidRPr="00854006">
        <w:rPr>
          <w:b/>
          <w:sz w:val="28"/>
        </w:rPr>
        <w:t>Diâmetro da íris como referência para Análise Facial Integrada</w:t>
      </w:r>
    </w:p>
    <w:p w14:paraId="5DE86ABD" w14:textId="77777777" w:rsidR="00854006" w:rsidRPr="00813F18" w:rsidRDefault="00854006" w:rsidP="004256BB">
      <w:pPr>
        <w:spacing w:line="240" w:lineRule="auto"/>
      </w:pPr>
    </w:p>
    <w:p w14:paraId="404F4242" w14:textId="26367E0E" w:rsidR="00922FAE" w:rsidRDefault="00A8064B" w:rsidP="00922FAE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 </w:t>
      </w:r>
      <w:r w:rsidRPr="00A8064B">
        <w:rPr>
          <w:sz w:val="22"/>
          <w:szCs w:val="22"/>
        </w:rPr>
        <w:t>crescimento das estruturas corporais humanas não compreende apenas um processo de aumento de tamanho. O indivíduo cresce em tamanho, porém, cada uma de suas estruturas apresenta um padrão de crescimento específico, algumas em maior, outras em menor proporção</w:t>
      </w:r>
      <w:r w:rsidR="00D40702">
        <w:rPr>
          <w:sz w:val="22"/>
          <w:szCs w:val="22"/>
        </w:rPr>
        <w:t xml:space="preserve">, </w:t>
      </w:r>
      <w:r w:rsidR="00D40702" w:rsidRPr="004256BB">
        <w:rPr>
          <w:sz w:val="22"/>
          <w:szCs w:val="22"/>
        </w:rPr>
        <w:t>e em velocidades variáveis de acordo com a idade</w:t>
      </w:r>
      <w:r w:rsidRPr="004256BB">
        <w:rPr>
          <w:sz w:val="22"/>
          <w:szCs w:val="22"/>
        </w:rPr>
        <w:t>.</w:t>
      </w:r>
      <w:r>
        <w:rPr>
          <w:sz w:val="22"/>
          <w:szCs w:val="22"/>
        </w:rPr>
        <w:t xml:space="preserve"> Essa desproporcionalidade também é observada no crescimento e desenvolvimento craniofacial. </w:t>
      </w:r>
      <w:r w:rsidRPr="00A8064B">
        <w:rPr>
          <w:sz w:val="22"/>
          <w:szCs w:val="22"/>
        </w:rPr>
        <w:t>Cada uma das muitas estruturas faciais se desenvolve em diferentes dimensões e direções</w:t>
      </w:r>
      <w:r w:rsidR="000763CD">
        <w:rPr>
          <w:sz w:val="22"/>
          <w:szCs w:val="22"/>
        </w:rPr>
        <w:t>, em</w:t>
      </w:r>
      <w:r w:rsidR="000763CD" w:rsidRPr="000763CD">
        <w:rPr>
          <w:sz w:val="22"/>
          <w:szCs w:val="22"/>
        </w:rPr>
        <w:t xml:space="preserve"> um processo contínuo e dinâm</w:t>
      </w:r>
      <w:r w:rsidR="000763CD">
        <w:rPr>
          <w:sz w:val="22"/>
          <w:szCs w:val="22"/>
        </w:rPr>
        <w:t xml:space="preserve">ico que muda em função da idade e faz com </w:t>
      </w:r>
      <w:r w:rsidR="00C8696B">
        <w:rPr>
          <w:sz w:val="22"/>
          <w:szCs w:val="22"/>
        </w:rPr>
        <w:t xml:space="preserve">que </w:t>
      </w:r>
      <w:r w:rsidR="000763CD">
        <w:rPr>
          <w:sz w:val="22"/>
          <w:szCs w:val="22"/>
        </w:rPr>
        <w:t xml:space="preserve">a morfologia facial sofra mudanças significativas, o que afeta </w:t>
      </w:r>
      <w:r w:rsidR="00C8696B">
        <w:rPr>
          <w:sz w:val="22"/>
          <w:szCs w:val="22"/>
        </w:rPr>
        <w:t xml:space="preserve">a </w:t>
      </w:r>
      <w:r w:rsidR="000763CD" w:rsidRPr="000763CD">
        <w:rPr>
          <w:sz w:val="22"/>
          <w:szCs w:val="22"/>
        </w:rPr>
        <w:t>aparência final</w:t>
      </w:r>
      <w:r w:rsidR="000763CD">
        <w:rPr>
          <w:sz w:val="22"/>
          <w:szCs w:val="22"/>
        </w:rPr>
        <w:t xml:space="preserve"> do indivíduo. </w:t>
      </w:r>
      <w:r w:rsidRPr="00A8064B">
        <w:rPr>
          <w:sz w:val="22"/>
          <w:szCs w:val="22"/>
        </w:rPr>
        <w:t xml:space="preserve">Esse fenômeno, conhecido como </w:t>
      </w:r>
      <w:proofErr w:type="spellStart"/>
      <w:r w:rsidRPr="00A8064B">
        <w:rPr>
          <w:sz w:val="22"/>
          <w:szCs w:val="22"/>
        </w:rPr>
        <w:t>alometria</w:t>
      </w:r>
      <w:proofErr w:type="spellEnd"/>
      <w:r w:rsidRPr="00A8064B">
        <w:rPr>
          <w:sz w:val="22"/>
          <w:szCs w:val="22"/>
        </w:rPr>
        <w:t xml:space="preserve">, é a razão pela qual o rosto de uma criança não corresponde a uma versão menor do rosto de um adulto. </w:t>
      </w:r>
      <w:r w:rsidR="00922FAE">
        <w:rPr>
          <w:sz w:val="22"/>
          <w:szCs w:val="22"/>
        </w:rPr>
        <w:t xml:space="preserve">Baseada em </w:t>
      </w:r>
      <w:r w:rsidR="00922FAE" w:rsidRPr="00922FAE">
        <w:rPr>
          <w:sz w:val="22"/>
          <w:szCs w:val="22"/>
        </w:rPr>
        <w:t>comparações de proporções anatômicas</w:t>
      </w:r>
      <w:r w:rsidR="00922FAE">
        <w:rPr>
          <w:sz w:val="22"/>
          <w:szCs w:val="22"/>
        </w:rPr>
        <w:t xml:space="preserve">, a </w:t>
      </w:r>
      <w:proofErr w:type="spellStart"/>
      <w:r w:rsidR="00922FAE">
        <w:rPr>
          <w:sz w:val="22"/>
          <w:szCs w:val="22"/>
        </w:rPr>
        <w:t>alometria</w:t>
      </w:r>
      <w:proofErr w:type="spellEnd"/>
      <w:r w:rsidR="00922FAE">
        <w:rPr>
          <w:sz w:val="22"/>
          <w:szCs w:val="22"/>
        </w:rPr>
        <w:t xml:space="preserve"> permite </w:t>
      </w:r>
      <w:r w:rsidR="00922FAE" w:rsidRPr="00922FAE">
        <w:rPr>
          <w:sz w:val="22"/>
          <w:szCs w:val="22"/>
        </w:rPr>
        <w:t>examinar o processo de crescimento craniofacial</w:t>
      </w:r>
      <w:r w:rsidR="00922FAE">
        <w:rPr>
          <w:sz w:val="22"/>
          <w:szCs w:val="22"/>
        </w:rPr>
        <w:t xml:space="preserve"> e</w:t>
      </w:r>
      <w:r w:rsidR="00922FAE" w:rsidRPr="00922FAE">
        <w:rPr>
          <w:sz w:val="22"/>
          <w:szCs w:val="22"/>
        </w:rPr>
        <w:t xml:space="preserve"> </w:t>
      </w:r>
      <w:r w:rsidR="00922FAE">
        <w:rPr>
          <w:sz w:val="22"/>
          <w:szCs w:val="22"/>
        </w:rPr>
        <w:t xml:space="preserve">vem </w:t>
      </w:r>
      <w:r w:rsidR="00922FAE" w:rsidRPr="00922FAE">
        <w:rPr>
          <w:sz w:val="22"/>
          <w:szCs w:val="22"/>
        </w:rPr>
        <w:t>recentemente</w:t>
      </w:r>
      <w:r w:rsidR="00922FAE">
        <w:rPr>
          <w:sz w:val="22"/>
          <w:szCs w:val="22"/>
        </w:rPr>
        <w:t xml:space="preserve"> despontando </w:t>
      </w:r>
      <w:r w:rsidR="00922FAE" w:rsidRPr="00922FAE">
        <w:rPr>
          <w:sz w:val="22"/>
          <w:szCs w:val="22"/>
        </w:rPr>
        <w:t>como uma ferramenta potencial para a estimativa da idade forense.</w:t>
      </w:r>
    </w:p>
    <w:p w14:paraId="3BADA396" w14:textId="5C43E49E" w:rsidR="000763CD" w:rsidRDefault="00FC340A" w:rsidP="00A8064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Nesse sentido,</w:t>
      </w:r>
      <w:r w:rsidRPr="00A8064B">
        <w:rPr>
          <w:sz w:val="22"/>
          <w:szCs w:val="22"/>
        </w:rPr>
        <w:t xml:space="preserve"> estudos forenses foram desenvolvidos na última década para investigar o crescimento facial como uma ferramenta antropométrica para procedimentos de </w:t>
      </w:r>
      <w:r w:rsidRPr="00FC340A">
        <w:rPr>
          <w:sz w:val="22"/>
          <w:szCs w:val="22"/>
        </w:rPr>
        <w:t xml:space="preserve">progressão da idade para fins de reconhecimento facial, previsão da aparência facial </w:t>
      </w:r>
      <w:r>
        <w:rPr>
          <w:sz w:val="22"/>
          <w:szCs w:val="22"/>
        </w:rPr>
        <w:t>e diagnóstico de idade, sobretudo</w:t>
      </w:r>
      <w:r w:rsidRPr="00A8064B">
        <w:rPr>
          <w:sz w:val="22"/>
          <w:szCs w:val="22"/>
        </w:rPr>
        <w:t xml:space="preserve"> em casos envolvendo pornografia infantil</w:t>
      </w:r>
      <w:r>
        <w:rPr>
          <w:sz w:val="22"/>
          <w:szCs w:val="22"/>
        </w:rPr>
        <w:t>.</w:t>
      </w:r>
      <w:r w:rsidR="000B4528">
        <w:rPr>
          <w:sz w:val="22"/>
          <w:szCs w:val="22"/>
        </w:rPr>
        <w:t xml:space="preserve"> </w:t>
      </w:r>
      <w:r w:rsidR="000B4528" w:rsidRPr="00A8064B">
        <w:rPr>
          <w:sz w:val="22"/>
          <w:szCs w:val="22"/>
        </w:rPr>
        <w:t>A antropometria tradicional é realizada tomando medidas diretamente dos sujeitos usando compassos de calibre ou fitas de medição</w:t>
      </w:r>
      <w:r w:rsidR="000B4528">
        <w:rPr>
          <w:sz w:val="22"/>
          <w:szCs w:val="22"/>
        </w:rPr>
        <w:t xml:space="preserve">, o que requer a presença do examinado, </w:t>
      </w:r>
      <w:r w:rsidR="008B639E">
        <w:rPr>
          <w:sz w:val="22"/>
          <w:szCs w:val="22"/>
        </w:rPr>
        <w:t xml:space="preserve">condição </w:t>
      </w:r>
      <w:r w:rsidR="000B4528">
        <w:rPr>
          <w:sz w:val="22"/>
          <w:szCs w:val="22"/>
        </w:rPr>
        <w:t xml:space="preserve">nem sempre possível em exames periciais. </w:t>
      </w:r>
      <w:r w:rsidR="000B4528" w:rsidRPr="00A8064B">
        <w:rPr>
          <w:sz w:val="22"/>
          <w:szCs w:val="22"/>
        </w:rPr>
        <w:t xml:space="preserve">A análise de imagens bidimensionais (2D), como </w:t>
      </w:r>
      <w:proofErr w:type="spellStart"/>
      <w:r w:rsidR="000B4528" w:rsidRPr="00A8064B">
        <w:rPr>
          <w:sz w:val="22"/>
          <w:szCs w:val="22"/>
        </w:rPr>
        <w:t>ce</w:t>
      </w:r>
      <w:r w:rsidR="000B4528">
        <w:rPr>
          <w:sz w:val="22"/>
          <w:szCs w:val="22"/>
        </w:rPr>
        <w:t>falogramas</w:t>
      </w:r>
      <w:proofErr w:type="spellEnd"/>
      <w:r w:rsidR="000B4528">
        <w:rPr>
          <w:sz w:val="22"/>
          <w:szCs w:val="22"/>
        </w:rPr>
        <w:t xml:space="preserve"> e fotografias, surge</w:t>
      </w:r>
      <w:r w:rsidR="000B4528" w:rsidRPr="00A8064B">
        <w:rPr>
          <w:sz w:val="22"/>
          <w:szCs w:val="22"/>
        </w:rPr>
        <w:t xml:space="preserve"> como um método alternativo para investigações neste campo. Entre as técnicas 2D utilizadas para a aquisição e análise de </w:t>
      </w:r>
      <w:r w:rsidR="000B4528">
        <w:rPr>
          <w:sz w:val="22"/>
          <w:szCs w:val="22"/>
        </w:rPr>
        <w:t xml:space="preserve">imagens </w:t>
      </w:r>
      <w:r w:rsidR="008B639E">
        <w:rPr>
          <w:sz w:val="22"/>
          <w:szCs w:val="22"/>
        </w:rPr>
        <w:t>da face humana</w:t>
      </w:r>
      <w:r w:rsidR="000B4528">
        <w:rPr>
          <w:sz w:val="22"/>
          <w:szCs w:val="22"/>
        </w:rPr>
        <w:t>, a foto</w:t>
      </w:r>
      <w:r w:rsidR="000B4528" w:rsidRPr="00A8064B">
        <w:rPr>
          <w:sz w:val="22"/>
          <w:szCs w:val="22"/>
        </w:rPr>
        <w:t xml:space="preserve">antropometria </w:t>
      </w:r>
      <w:r w:rsidR="008B639E">
        <w:rPr>
          <w:sz w:val="22"/>
          <w:szCs w:val="22"/>
        </w:rPr>
        <w:t>se apresenta como</w:t>
      </w:r>
      <w:r w:rsidR="000B4528" w:rsidRPr="00A8064B">
        <w:rPr>
          <w:sz w:val="22"/>
          <w:szCs w:val="22"/>
        </w:rPr>
        <w:t xml:space="preserve"> uma abordagem popular para estudos epidemiológicos e forenses. Consiste </w:t>
      </w:r>
      <w:r w:rsidR="005B10D9">
        <w:rPr>
          <w:sz w:val="22"/>
          <w:szCs w:val="22"/>
        </w:rPr>
        <w:t>na marcação de pontos anatômicos de referência em fotografias</w:t>
      </w:r>
      <w:r w:rsidR="000B4528" w:rsidRPr="00A8064B">
        <w:rPr>
          <w:sz w:val="22"/>
          <w:szCs w:val="22"/>
        </w:rPr>
        <w:t xml:space="preserve"> para permitir a medição de distâncias, ângulos e proporções</w:t>
      </w:r>
      <w:r w:rsidR="00CD5196">
        <w:rPr>
          <w:sz w:val="22"/>
          <w:szCs w:val="22"/>
        </w:rPr>
        <w:t>.</w:t>
      </w:r>
    </w:p>
    <w:p w14:paraId="0F698185" w14:textId="439658B8" w:rsidR="00051904" w:rsidRDefault="00C11455" w:rsidP="00A8064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</w:t>
      </w:r>
      <w:r w:rsidR="00E25A42">
        <w:rPr>
          <w:sz w:val="22"/>
          <w:szCs w:val="22"/>
        </w:rPr>
        <w:t xml:space="preserve"> viabilidade de </w:t>
      </w:r>
      <w:r w:rsidR="00D40702">
        <w:rPr>
          <w:sz w:val="22"/>
          <w:szCs w:val="22"/>
        </w:rPr>
        <w:t xml:space="preserve">análises métricas </w:t>
      </w:r>
      <w:r w:rsidR="0085531D">
        <w:rPr>
          <w:sz w:val="22"/>
          <w:szCs w:val="22"/>
        </w:rPr>
        <w:t xml:space="preserve">em fotografias é </w:t>
      </w:r>
      <w:r w:rsidR="00E25A42">
        <w:rPr>
          <w:sz w:val="22"/>
          <w:szCs w:val="22"/>
        </w:rPr>
        <w:t xml:space="preserve">dependente de que estas sejam adquiridas </w:t>
      </w:r>
      <w:r w:rsidR="006B37FA">
        <w:rPr>
          <w:sz w:val="22"/>
          <w:szCs w:val="22"/>
        </w:rPr>
        <w:t xml:space="preserve">com </w:t>
      </w:r>
      <w:r w:rsidR="00D40702">
        <w:rPr>
          <w:sz w:val="22"/>
          <w:szCs w:val="22"/>
        </w:rPr>
        <w:t>escala</w:t>
      </w:r>
      <w:r w:rsidR="006B37FA">
        <w:rPr>
          <w:sz w:val="22"/>
          <w:szCs w:val="22"/>
        </w:rPr>
        <w:t>, o que</w:t>
      </w:r>
      <w:r w:rsidR="00017FBC">
        <w:rPr>
          <w:sz w:val="22"/>
          <w:szCs w:val="22"/>
        </w:rPr>
        <w:t>, na sua ausência</w:t>
      </w:r>
      <w:r w:rsidR="004256BB">
        <w:rPr>
          <w:sz w:val="22"/>
          <w:szCs w:val="22"/>
        </w:rPr>
        <w:t>,</w:t>
      </w:r>
      <w:r w:rsidR="00D40702">
        <w:rPr>
          <w:sz w:val="22"/>
          <w:szCs w:val="22"/>
        </w:rPr>
        <w:t xml:space="preserve"> </w:t>
      </w:r>
      <w:r w:rsidR="00D40702" w:rsidRPr="004256BB">
        <w:rPr>
          <w:sz w:val="22"/>
          <w:szCs w:val="22"/>
        </w:rPr>
        <w:t>pode ser compensado pela limitação de análise ao conjunto de relações entre duas medidas, gerando os índices</w:t>
      </w:r>
      <w:r w:rsidR="00203B13" w:rsidRPr="004256BB">
        <w:rPr>
          <w:sz w:val="22"/>
          <w:szCs w:val="22"/>
        </w:rPr>
        <w:t xml:space="preserve">. </w:t>
      </w:r>
      <w:r w:rsidR="0049226A" w:rsidRPr="004256BB">
        <w:rPr>
          <w:sz w:val="22"/>
          <w:szCs w:val="22"/>
        </w:rPr>
        <w:t xml:space="preserve">Entretanto, pesquisar e expressar o crescimento facial, ocorrido com a participação de várias estruturas anatômicas que crescem de maneira desigual e em diferentes épocas, através de, no máximo, duas medidas por vez, cria a necessidade de estudar um conjunto de partes, e não a face por inteiro. Uma análise completa e combinada de todas as estruturas da face simultaneamente seria permitida apenas pela existência de </w:t>
      </w:r>
      <w:r w:rsidR="000A70ED">
        <w:rPr>
          <w:sz w:val="22"/>
          <w:szCs w:val="22"/>
        </w:rPr>
        <w:t xml:space="preserve">uma </w:t>
      </w:r>
      <w:r w:rsidR="00E44EDD">
        <w:rPr>
          <w:sz w:val="22"/>
          <w:szCs w:val="22"/>
        </w:rPr>
        <w:t xml:space="preserve">referência anatômica fixa, que não se modificasse em função do tempo, </w:t>
      </w:r>
      <w:r w:rsidR="000A70ED">
        <w:rPr>
          <w:sz w:val="22"/>
          <w:szCs w:val="22"/>
        </w:rPr>
        <w:t xml:space="preserve">o que </w:t>
      </w:r>
      <w:r w:rsidR="00E44EDD">
        <w:rPr>
          <w:sz w:val="22"/>
          <w:szCs w:val="22"/>
        </w:rPr>
        <w:t xml:space="preserve">permitiria </w:t>
      </w:r>
      <w:r w:rsidR="000A70ED">
        <w:rPr>
          <w:sz w:val="22"/>
          <w:szCs w:val="22"/>
        </w:rPr>
        <w:t xml:space="preserve">a comparação das medidas </w:t>
      </w:r>
      <w:proofErr w:type="spellStart"/>
      <w:r w:rsidR="004256BB">
        <w:rPr>
          <w:sz w:val="22"/>
          <w:szCs w:val="22"/>
        </w:rPr>
        <w:t>fotoantropométricas</w:t>
      </w:r>
      <w:proofErr w:type="spellEnd"/>
      <w:r w:rsidR="000A70ED">
        <w:rPr>
          <w:sz w:val="22"/>
          <w:szCs w:val="22"/>
        </w:rPr>
        <w:t xml:space="preserve">, verificando </w:t>
      </w:r>
      <w:r w:rsidR="00E44EDD">
        <w:rPr>
          <w:sz w:val="22"/>
          <w:szCs w:val="22"/>
        </w:rPr>
        <w:t>a</w:t>
      </w:r>
      <w:r w:rsidR="00E44EDD" w:rsidRPr="00CB7C7D">
        <w:rPr>
          <w:sz w:val="22"/>
          <w:szCs w:val="22"/>
        </w:rPr>
        <w:t xml:space="preserve"> variação de todas as</w:t>
      </w:r>
      <w:r w:rsidR="00E44EDD">
        <w:rPr>
          <w:sz w:val="22"/>
          <w:szCs w:val="22"/>
        </w:rPr>
        <w:t xml:space="preserve"> outras estruturas faciais</w:t>
      </w:r>
      <w:r w:rsidR="000A70ED">
        <w:rPr>
          <w:sz w:val="22"/>
          <w:szCs w:val="22"/>
        </w:rPr>
        <w:t>, de acordo com a idade</w:t>
      </w:r>
      <w:r w:rsidR="00E44EDD">
        <w:rPr>
          <w:sz w:val="22"/>
          <w:szCs w:val="22"/>
        </w:rPr>
        <w:t xml:space="preserve">. </w:t>
      </w:r>
    </w:p>
    <w:p w14:paraId="5D9A7E7E" w14:textId="485C2AA8" w:rsidR="009B7365" w:rsidRDefault="00044441" w:rsidP="009B7365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Estudos clínicos demo</w:t>
      </w:r>
      <w:r w:rsidR="00C8696B">
        <w:rPr>
          <w:sz w:val="22"/>
          <w:szCs w:val="22"/>
        </w:rPr>
        <w:t>n</w:t>
      </w:r>
      <w:r>
        <w:rPr>
          <w:sz w:val="22"/>
          <w:szCs w:val="22"/>
        </w:rPr>
        <w:t>straram a estabilidade das dimensões da íris ao longo da vida, com seu crescimento finalizando</w:t>
      </w:r>
      <w:r w:rsidRPr="00044441">
        <w:rPr>
          <w:sz w:val="22"/>
          <w:szCs w:val="22"/>
        </w:rPr>
        <w:t xml:space="preserve"> no primeiro ano</w:t>
      </w:r>
      <w:r>
        <w:rPr>
          <w:sz w:val="22"/>
          <w:szCs w:val="22"/>
        </w:rPr>
        <w:t xml:space="preserve"> de idade, </w:t>
      </w:r>
      <w:r w:rsidR="00AF5A21">
        <w:rPr>
          <w:sz w:val="22"/>
          <w:szCs w:val="22"/>
        </w:rPr>
        <w:t xml:space="preserve">o que </w:t>
      </w:r>
      <w:r w:rsidR="009B7365">
        <w:rPr>
          <w:sz w:val="22"/>
          <w:szCs w:val="22"/>
        </w:rPr>
        <w:t xml:space="preserve">norteou </w:t>
      </w:r>
      <w:r w:rsidRPr="00044441">
        <w:rPr>
          <w:sz w:val="22"/>
          <w:szCs w:val="22"/>
        </w:rPr>
        <w:t xml:space="preserve">o diâmetro da íris </w:t>
      </w:r>
      <w:r w:rsidR="009B7365">
        <w:rPr>
          <w:sz w:val="22"/>
          <w:szCs w:val="22"/>
        </w:rPr>
        <w:t xml:space="preserve">como </w:t>
      </w:r>
      <w:r w:rsidRPr="00044441">
        <w:rPr>
          <w:sz w:val="22"/>
          <w:szCs w:val="22"/>
        </w:rPr>
        <w:t>uma métrica de referência promissora para análise de imagens faciais, especialmente para estimativa de idade</w:t>
      </w:r>
      <w:r w:rsidR="00AF5A21">
        <w:rPr>
          <w:sz w:val="22"/>
          <w:szCs w:val="22"/>
        </w:rPr>
        <w:t xml:space="preserve"> com base no crescimento facial</w:t>
      </w:r>
      <w:r>
        <w:rPr>
          <w:sz w:val="22"/>
          <w:szCs w:val="22"/>
        </w:rPr>
        <w:t>.</w:t>
      </w:r>
      <w:r w:rsidRPr="00044441">
        <w:rPr>
          <w:sz w:val="22"/>
          <w:szCs w:val="22"/>
        </w:rPr>
        <w:t xml:space="preserve"> </w:t>
      </w:r>
      <w:r w:rsidR="009B7365">
        <w:rPr>
          <w:sz w:val="22"/>
          <w:szCs w:val="22"/>
        </w:rPr>
        <w:t xml:space="preserve">Diante disso, o presente estudo objetivou analisar o </w:t>
      </w:r>
      <w:r w:rsidR="009B7365" w:rsidRPr="00C11455">
        <w:rPr>
          <w:sz w:val="22"/>
          <w:szCs w:val="22"/>
        </w:rPr>
        <w:t xml:space="preserve">crescimento </w:t>
      </w:r>
      <w:r w:rsidR="009B7365">
        <w:rPr>
          <w:sz w:val="22"/>
          <w:szCs w:val="22"/>
        </w:rPr>
        <w:t xml:space="preserve">facial </w:t>
      </w:r>
      <w:r w:rsidR="009B7365" w:rsidRPr="00C11455">
        <w:rPr>
          <w:sz w:val="22"/>
          <w:szCs w:val="22"/>
        </w:rPr>
        <w:t>humano usando um conjunto de 10 medidas faciais tomadas de crianças, adolescentes e adultos jovens</w:t>
      </w:r>
      <w:r w:rsidR="009B7365">
        <w:rPr>
          <w:sz w:val="22"/>
          <w:szCs w:val="22"/>
        </w:rPr>
        <w:t xml:space="preserve"> tendo como base o diâmetro da íris</w:t>
      </w:r>
      <w:r w:rsidR="00641000">
        <w:rPr>
          <w:sz w:val="22"/>
          <w:szCs w:val="22"/>
        </w:rPr>
        <w:t>,</w:t>
      </w:r>
      <w:r w:rsidR="009B7365">
        <w:rPr>
          <w:sz w:val="22"/>
          <w:szCs w:val="22"/>
        </w:rPr>
        <w:t xml:space="preserve"> </w:t>
      </w:r>
      <w:r w:rsidR="009B7365" w:rsidRPr="00C11455">
        <w:rPr>
          <w:sz w:val="22"/>
          <w:szCs w:val="22"/>
        </w:rPr>
        <w:t>para avaliar as vari</w:t>
      </w:r>
      <w:r w:rsidR="009B7365">
        <w:rPr>
          <w:sz w:val="22"/>
          <w:szCs w:val="22"/>
        </w:rPr>
        <w:t xml:space="preserve">ações craniofaciais. </w:t>
      </w:r>
    </w:p>
    <w:p w14:paraId="0AF383F0" w14:textId="1A1B43FE" w:rsidR="00387352" w:rsidRDefault="00A945CF" w:rsidP="00A945CF">
      <w:pPr>
        <w:spacing w:line="240" w:lineRule="auto"/>
        <w:ind w:firstLine="851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9B7365" w:rsidRPr="009B7365">
        <w:rPr>
          <w:sz w:val="22"/>
          <w:szCs w:val="22"/>
        </w:rPr>
        <w:t xml:space="preserve">A amostra consistiu em fotografias digitais de 1000 </w:t>
      </w:r>
      <w:r w:rsidR="004256BB">
        <w:rPr>
          <w:sz w:val="22"/>
          <w:szCs w:val="22"/>
        </w:rPr>
        <w:t>indivíduos</w:t>
      </w:r>
      <w:r w:rsidR="009B7365" w:rsidRPr="009B7365">
        <w:rPr>
          <w:sz w:val="22"/>
          <w:szCs w:val="22"/>
        </w:rPr>
        <w:t xml:space="preserve"> brasileiros, com idade entre 6 e 22 anos, distribuídos igualmente por sexo e divididos em cinco grupos etários específicos (6, 10, 14, 18 e 22 anos ± um mês). O software SAFF-2D® (Sistema de Análise Forense Facial, Polícia Federal Brasileira, Brasil) foi utilizado para </w:t>
      </w:r>
      <w:r w:rsidR="00FA291C">
        <w:rPr>
          <w:sz w:val="22"/>
          <w:szCs w:val="22"/>
        </w:rPr>
        <w:t>marcação de 11 pontos</w:t>
      </w:r>
      <w:r w:rsidR="009B7365" w:rsidRPr="009B7365">
        <w:rPr>
          <w:sz w:val="22"/>
          <w:szCs w:val="22"/>
        </w:rPr>
        <w:t xml:space="preserve"> nas imagens. </w:t>
      </w:r>
      <w:r w:rsidR="00AB072A">
        <w:rPr>
          <w:sz w:val="22"/>
          <w:szCs w:val="22"/>
        </w:rPr>
        <w:t>Para avaliar o crescimento</w:t>
      </w:r>
      <w:r w:rsidR="009775A0">
        <w:rPr>
          <w:sz w:val="22"/>
          <w:szCs w:val="22"/>
        </w:rPr>
        <w:t xml:space="preserve"> relativo,</w:t>
      </w:r>
      <w:r w:rsidR="00AB072A">
        <w:rPr>
          <w:sz w:val="22"/>
          <w:szCs w:val="22"/>
        </w:rPr>
        <w:t xml:space="preserve"> em cada faixa etária, </w:t>
      </w:r>
      <w:r w:rsidR="00AB072A" w:rsidRPr="009B7365">
        <w:rPr>
          <w:sz w:val="22"/>
          <w:szCs w:val="22"/>
        </w:rPr>
        <w:t>bem como o cre</w:t>
      </w:r>
      <w:r w:rsidR="00AB072A">
        <w:rPr>
          <w:sz w:val="22"/>
          <w:szCs w:val="22"/>
        </w:rPr>
        <w:t>scimento acumulado (6-22 anos), f</w:t>
      </w:r>
      <w:r w:rsidR="009B7365" w:rsidRPr="009B7365">
        <w:rPr>
          <w:sz w:val="22"/>
          <w:szCs w:val="22"/>
        </w:rPr>
        <w:t xml:space="preserve">oram </w:t>
      </w:r>
      <w:r w:rsidR="00AB3BBC">
        <w:rPr>
          <w:sz w:val="22"/>
          <w:szCs w:val="22"/>
        </w:rPr>
        <w:t>propostas</w:t>
      </w:r>
      <w:r w:rsidR="002F2B2A">
        <w:rPr>
          <w:sz w:val="22"/>
          <w:szCs w:val="22"/>
        </w:rPr>
        <w:t xml:space="preserve"> nove</w:t>
      </w:r>
      <w:r w:rsidR="009B7365" w:rsidRPr="009B7365">
        <w:rPr>
          <w:sz w:val="22"/>
          <w:szCs w:val="22"/>
        </w:rPr>
        <w:t xml:space="preserve"> medid</w:t>
      </w:r>
      <w:r w:rsidR="00B0758A">
        <w:rPr>
          <w:sz w:val="22"/>
          <w:szCs w:val="22"/>
        </w:rPr>
        <w:t xml:space="preserve">as </w:t>
      </w:r>
      <w:r w:rsidR="00AB3BBC">
        <w:rPr>
          <w:sz w:val="22"/>
          <w:szCs w:val="22"/>
        </w:rPr>
        <w:t>faciais e utilizada</w:t>
      </w:r>
      <w:r w:rsidR="00AB072A">
        <w:rPr>
          <w:sz w:val="22"/>
          <w:szCs w:val="22"/>
        </w:rPr>
        <w:t xml:space="preserve"> como referência fixa</w:t>
      </w:r>
      <w:r w:rsidR="009B7365" w:rsidRPr="009B7365">
        <w:rPr>
          <w:sz w:val="22"/>
          <w:szCs w:val="22"/>
        </w:rPr>
        <w:t xml:space="preserve"> </w:t>
      </w:r>
      <w:r w:rsidR="00AB072A">
        <w:rPr>
          <w:sz w:val="22"/>
          <w:szCs w:val="22"/>
        </w:rPr>
        <w:t>o diâmetro da íris</w:t>
      </w:r>
      <w:r w:rsidR="00387352">
        <w:rPr>
          <w:sz w:val="22"/>
          <w:szCs w:val="22"/>
        </w:rPr>
        <w:t xml:space="preserve"> (Figura 1). </w:t>
      </w:r>
    </w:p>
    <w:p w14:paraId="3B1951B3" w14:textId="0CF10640" w:rsidR="00123C23" w:rsidRPr="00A945CF" w:rsidRDefault="00AB1B26" w:rsidP="00AB1B26">
      <w:pPr>
        <w:spacing w:line="240" w:lineRule="auto"/>
        <w:rPr>
          <w:sz w:val="20"/>
          <w:szCs w:val="20"/>
        </w:rPr>
      </w:pPr>
      <w:r w:rsidRPr="004E618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F5D75CA" wp14:editId="54BFA5AA">
            <wp:simplePos x="0" y="0"/>
            <wp:positionH relativeFrom="column">
              <wp:posOffset>1013460</wp:posOffset>
            </wp:positionH>
            <wp:positionV relativeFrom="paragraph">
              <wp:posOffset>-3175</wp:posOffset>
            </wp:positionV>
            <wp:extent cx="3981450" cy="2799080"/>
            <wp:effectExtent l="0" t="0" r="0" b="1270"/>
            <wp:wrapTopAndBottom/>
            <wp:docPr id="9" name="Imagem 9" descr="C:\Users\palhares.cepm\Dropbox\@TEMPORARIOS\@@@MANUSCRITO_IRIS_ARQUIVOS_SUBMISSÃO\SUBMISSAO_1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hares.cepm\Dropbox\@TEMPORARIOS\@@@MANUSCRITO_IRIS_ARQUIVOS_SUBMISSÃO\SUBMISSAO_1\Figure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F44D7" wp14:editId="158989E3">
                <wp:simplePos x="0" y="0"/>
                <wp:positionH relativeFrom="column">
                  <wp:posOffset>742950</wp:posOffset>
                </wp:positionH>
                <wp:positionV relativeFrom="paragraph">
                  <wp:posOffset>2853055</wp:posOffset>
                </wp:positionV>
                <wp:extent cx="4542155" cy="635"/>
                <wp:effectExtent l="0" t="0" r="0" b="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32EB59" w14:textId="0C465DEC" w:rsidR="0070731A" w:rsidRPr="00123C23" w:rsidRDefault="0070731A" w:rsidP="00123C23">
                            <w:pPr>
                              <w:pStyle w:val="Legenda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3C23">
                              <w:rPr>
                                <w:i w:val="0"/>
                                <w:color w:val="auto"/>
                              </w:rPr>
                              <w:t xml:space="preserve">Figura </w: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instrText xml:space="preserve"> SEQ Figura \* ARABIC </w:instrTex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123C23">
                              <w:rPr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t xml:space="preserve">- Representação gráfica das medidas adotadas. 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br/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t xml:space="preserve">* 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 xml:space="preserve">A medida da íris corresponde ao </w:t>
                            </w:r>
                            <w:r w:rsidRPr="004256BB">
                              <w:rPr>
                                <w:i w:val="0"/>
                                <w:color w:val="auto"/>
                              </w:rPr>
                              <w:t>diâmetro</w:t>
                            </w:r>
                            <w:r w:rsidRPr="00123C23">
                              <w:rPr>
                                <w:i w:val="0"/>
                                <w:color w:val="FF0000"/>
                              </w:rPr>
                              <w:t xml:space="preserve"> </w: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t>médio da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4256BB">
                              <w:rPr>
                                <w:i w:val="0"/>
                                <w:color w:val="auto"/>
                              </w:rPr>
                              <w:t>íris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 xml:space="preserve"> direita e esquerda; a</w: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t xml:space="preserve"> imagem foi obtida e utilizada de forma ilustrativa com o consentimento do 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>indivíduo</w:t>
                            </w:r>
                            <w:r w:rsidRPr="00123C23">
                              <w:rPr>
                                <w:i w:val="0"/>
                                <w:color w:val="auto"/>
                              </w:rPr>
                              <w:t xml:space="preserve"> e dos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F44D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8.5pt;margin-top:224.65pt;width:357.65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" stroked="f">
                <v:textbox style="mso-fit-shape-to-text:t" inset="0,0,0,0">
                  <w:txbxContent>
                    <w:p w14:paraId="0C32EB59" w14:textId="0C465DEC" w:rsidR="0070731A" w:rsidRPr="00123C23" w:rsidRDefault="0070731A" w:rsidP="00123C23">
                      <w:pPr>
                        <w:pStyle w:val="Legenda"/>
                        <w:jc w:val="center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23C23">
                        <w:rPr>
                          <w:i w:val="0"/>
                          <w:color w:val="auto"/>
                        </w:rPr>
                        <w:t xml:space="preserve">Figura </w:t>
                      </w:r>
                      <w:r w:rsidRPr="00123C23">
                        <w:rPr>
                          <w:i w:val="0"/>
                          <w:color w:val="auto"/>
                        </w:rPr>
                        <w:fldChar w:fldCharType="begin"/>
                      </w:r>
                      <w:r w:rsidRPr="00123C23">
                        <w:rPr>
                          <w:i w:val="0"/>
                          <w:color w:val="auto"/>
                        </w:rPr>
                        <w:instrText xml:space="preserve"> SEQ Figura \* ARABIC </w:instrText>
                      </w:r>
                      <w:r w:rsidRPr="00123C23">
                        <w:rPr>
                          <w:i w:val="0"/>
                          <w:color w:val="auto"/>
                        </w:rPr>
                        <w:fldChar w:fldCharType="separate"/>
                      </w:r>
                      <w:r w:rsidRPr="00123C23">
                        <w:rPr>
                          <w:i w:val="0"/>
                          <w:noProof/>
                          <w:color w:val="auto"/>
                        </w:rPr>
                        <w:t>1</w:t>
                      </w:r>
                      <w:r w:rsidRPr="00123C23">
                        <w:rPr>
                          <w:i w:val="0"/>
                          <w:color w:val="auto"/>
                        </w:rPr>
                        <w:fldChar w:fldCharType="end"/>
                      </w:r>
                      <w:r w:rsidRPr="00123C23">
                        <w:rPr>
                          <w:i w:val="0"/>
                          <w:color w:val="auto"/>
                        </w:rPr>
                        <w:t xml:space="preserve">- Representação gráfica das medidas adotadas. </w:t>
                      </w:r>
                      <w:r>
                        <w:rPr>
                          <w:i w:val="0"/>
                          <w:color w:val="auto"/>
                        </w:rPr>
                        <w:br/>
                      </w:r>
                      <w:r w:rsidRPr="00123C23">
                        <w:rPr>
                          <w:i w:val="0"/>
                          <w:color w:val="auto"/>
                        </w:rPr>
                        <w:t xml:space="preserve">* </w:t>
                      </w:r>
                      <w:r>
                        <w:rPr>
                          <w:i w:val="0"/>
                          <w:color w:val="auto"/>
                        </w:rPr>
                        <w:t xml:space="preserve">A medida da íris corresponde ao </w:t>
                      </w:r>
                      <w:r w:rsidRPr="004256BB">
                        <w:rPr>
                          <w:i w:val="0"/>
                          <w:color w:val="auto"/>
                        </w:rPr>
                        <w:t>diâmetro</w:t>
                      </w:r>
                      <w:r w:rsidRPr="00123C23">
                        <w:rPr>
                          <w:i w:val="0"/>
                          <w:color w:val="FF0000"/>
                        </w:rPr>
                        <w:t xml:space="preserve"> </w:t>
                      </w:r>
                      <w:r w:rsidRPr="00123C23">
                        <w:rPr>
                          <w:i w:val="0"/>
                          <w:color w:val="auto"/>
                        </w:rPr>
                        <w:t>médio da</w:t>
                      </w:r>
                      <w:r>
                        <w:rPr>
                          <w:i w:val="0"/>
                          <w:color w:val="auto"/>
                        </w:rPr>
                        <w:t xml:space="preserve"> </w:t>
                      </w:r>
                      <w:r w:rsidRPr="004256BB">
                        <w:rPr>
                          <w:i w:val="0"/>
                          <w:color w:val="auto"/>
                        </w:rPr>
                        <w:t>íris</w:t>
                      </w:r>
                      <w:r>
                        <w:rPr>
                          <w:i w:val="0"/>
                          <w:color w:val="auto"/>
                        </w:rPr>
                        <w:t xml:space="preserve"> direita e esquerda; a</w:t>
                      </w:r>
                      <w:r w:rsidRPr="00123C23">
                        <w:rPr>
                          <w:i w:val="0"/>
                          <w:color w:val="auto"/>
                        </w:rPr>
                        <w:t xml:space="preserve"> imagem foi obtida e utilizada de forma ilustrativa com o consentimento do </w:t>
                      </w:r>
                      <w:r>
                        <w:rPr>
                          <w:i w:val="0"/>
                          <w:color w:val="auto"/>
                        </w:rPr>
                        <w:t>indivíduo</w:t>
                      </w:r>
                      <w:r w:rsidRPr="00123C23">
                        <w:rPr>
                          <w:i w:val="0"/>
                          <w:color w:val="auto"/>
                        </w:rPr>
                        <w:t xml:space="preserve"> e dos familiares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600CC1" w14:textId="7EC6A06B" w:rsidR="009B7365" w:rsidRDefault="009B7365" w:rsidP="00AB1B26">
      <w:pPr>
        <w:spacing w:line="240" w:lineRule="auto"/>
        <w:ind w:firstLine="708"/>
        <w:rPr>
          <w:sz w:val="22"/>
          <w:szCs w:val="22"/>
        </w:rPr>
      </w:pPr>
      <w:r w:rsidRPr="009B7365">
        <w:rPr>
          <w:sz w:val="22"/>
          <w:szCs w:val="22"/>
        </w:rPr>
        <w:t xml:space="preserve">O Coeficiente de Correlação </w:t>
      </w:r>
      <w:proofErr w:type="spellStart"/>
      <w:r w:rsidRPr="009B7365">
        <w:rPr>
          <w:sz w:val="22"/>
          <w:szCs w:val="22"/>
        </w:rPr>
        <w:t>Intraclasse</w:t>
      </w:r>
      <w:proofErr w:type="spellEnd"/>
      <w:r w:rsidRPr="009B7365">
        <w:rPr>
          <w:sz w:val="22"/>
          <w:szCs w:val="22"/>
        </w:rPr>
        <w:t xml:space="preserve"> (ICC) foi aplicado para a av</w:t>
      </w:r>
      <w:r w:rsidR="004256BB">
        <w:rPr>
          <w:sz w:val="22"/>
          <w:szCs w:val="22"/>
        </w:rPr>
        <w:t xml:space="preserve">aliação da confiabilidade </w:t>
      </w:r>
      <w:proofErr w:type="spellStart"/>
      <w:r w:rsidR="004256BB">
        <w:rPr>
          <w:sz w:val="22"/>
          <w:szCs w:val="22"/>
        </w:rPr>
        <w:t>intraexaminador</w:t>
      </w:r>
      <w:proofErr w:type="spellEnd"/>
      <w:r w:rsidR="004256BB">
        <w:rPr>
          <w:sz w:val="22"/>
          <w:szCs w:val="22"/>
        </w:rPr>
        <w:t xml:space="preserve"> e </w:t>
      </w:r>
      <w:proofErr w:type="spellStart"/>
      <w:r w:rsidR="004256BB">
        <w:rPr>
          <w:sz w:val="22"/>
          <w:szCs w:val="22"/>
        </w:rPr>
        <w:t>inter</w:t>
      </w:r>
      <w:r w:rsidRPr="009B7365">
        <w:rPr>
          <w:sz w:val="22"/>
          <w:szCs w:val="22"/>
        </w:rPr>
        <w:t>examinador</w:t>
      </w:r>
      <w:proofErr w:type="spellEnd"/>
      <w:r w:rsidRPr="009B7365">
        <w:rPr>
          <w:sz w:val="22"/>
          <w:szCs w:val="22"/>
        </w:rPr>
        <w:t xml:space="preserve"> dentro de um conjunto específico de imagens. O Coeficiente de Correlação de Pearson foi utilizado para avaliar a associação entre cada medida tomada e os respectivos grupos etários. Os testes ANOVA e Post-hoc </w:t>
      </w:r>
      <w:r w:rsidR="008120D3">
        <w:rPr>
          <w:sz w:val="22"/>
          <w:szCs w:val="22"/>
        </w:rPr>
        <w:t xml:space="preserve">de </w:t>
      </w:r>
      <w:proofErr w:type="spellStart"/>
      <w:r w:rsidRPr="009B7365">
        <w:rPr>
          <w:sz w:val="22"/>
          <w:szCs w:val="22"/>
        </w:rPr>
        <w:t>Tukey</w:t>
      </w:r>
      <w:proofErr w:type="spellEnd"/>
      <w:r w:rsidRPr="009B7365">
        <w:rPr>
          <w:sz w:val="22"/>
          <w:szCs w:val="22"/>
        </w:rPr>
        <w:t xml:space="preserve"> foram utilizados para </w:t>
      </w:r>
      <w:r w:rsidR="004256BB">
        <w:rPr>
          <w:sz w:val="22"/>
          <w:szCs w:val="22"/>
        </w:rPr>
        <w:t>identificar</w:t>
      </w:r>
      <w:r w:rsidRPr="009B7365">
        <w:rPr>
          <w:sz w:val="22"/>
          <w:szCs w:val="22"/>
        </w:rPr>
        <w:t xml:space="preserve"> diferenças estatísticas entre os grupos etários.</w:t>
      </w:r>
    </w:p>
    <w:p w14:paraId="60D621F3" w14:textId="77777777" w:rsidR="008120D3" w:rsidRDefault="008120D3" w:rsidP="00A8064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Os resultados mostraram que </w:t>
      </w:r>
      <w:r w:rsidRPr="00AC2A28">
        <w:rPr>
          <w:sz w:val="22"/>
          <w:szCs w:val="22"/>
        </w:rPr>
        <w:t xml:space="preserve">método </w:t>
      </w:r>
      <w:proofErr w:type="spellStart"/>
      <w:r w:rsidRPr="00AC2A28">
        <w:rPr>
          <w:sz w:val="22"/>
          <w:szCs w:val="22"/>
        </w:rPr>
        <w:t>fotoantropométrico</w:t>
      </w:r>
      <w:proofErr w:type="spellEnd"/>
      <w:r w:rsidRPr="00AC2A28">
        <w:rPr>
          <w:sz w:val="22"/>
          <w:szCs w:val="22"/>
        </w:rPr>
        <w:t xml:space="preserve"> baseado</w:t>
      </w:r>
      <w:r>
        <w:rPr>
          <w:sz w:val="22"/>
          <w:szCs w:val="22"/>
        </w:rPr>
        <w:t xml:space="preserve"> no diâmetro da íris</w:t>
      </w:r>
      <w:r w:rsidRPr="00AC2A28">
        <w:rPr>
          <w:sz w:val="22"/>
          <w:szCs w:val="22"/>
        </w:rPr>
        <w:t xml:space="preserve"> </w:t>
      </w:r>
      <w:r>
        <w:rPr>
          <w:sz w:val="22"/>
          <w:szCs w:val="22"/>
        </w:rPr>
        <w:t>foi</w:t>
      </w:r>
      <w:r w:rsidRPr="00AC2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capaz de </w:t>
      </w:r>
      <w:r w:rsidRPr="00AC2A28">
        <w:rPr>
          <w:sz w:val="22"/>
          <w:szCs w:val="22"/>
        </w:rPr>
        <w:t>detec</w:t>
      </w:r>
      <w:r>
        <w:rPr>
          <w:sz w:val="22"/>
          <w:szCs w:val="22"/>
        </w:rPr>
        <w:t xml:space="preserve">tar </w:t>
      </w:r>
      <w:r w:rsidRPr="00AC2A28">
        <w:rPr>
          <w:sz w:val="22"/>
          <w:szCs w:val="22"/>
        </w:rPr>
        <w:t>variações morfológicas</w:t>
      </w:r>
      <w:r>
        <w:rPr>
          <w:sz w:val="22"/>
          <w:szCs w:val="22"/>
        </w:rPr>
        <w:t xml:space="preserve"> dos</w:t>
      </w:r>
      <w:r w:rsidRPr="00E166DE">
        <w:rPr>
          <w:sz w:val="22"/>
          <w:szCs w:val="22"/>
        </w:rPr>
        <w:t xml:space="preserve"> indivíduos</w:t>
      </w:r>
      <w:r>
        <w:rPr>
          <w:sz w:val="22"/>
          <w:szCs w:val="22"/>
        </w:rPr>
        <w:t xml:space="preserve">. </w:t>
      </w:r>
      <w:r w:rsidR="00A87FB9">
        <w:rPr>
          <w:sz w:val="22"/>
          <w:szCs w:val="22"/>
        </w:rPr>
        <w:t>O teste</w:t>
      </w:r>
      <w:r w:rsidR="00A87FB9" w:rsidRPr="00A87FB9">
        <w:rPr>
          <w:sz w:val="22"/>
          <w:szCs w:val="22"/>
        </w:rPr>
        <w:t xml:space="preserve"> ANOVA indicou um crescimento estatisticamente </w:t>
      </w:r>
      <w:r w:rsidR="00A87FB9">
        <w:rPr>
          <w:sz w:val="22"/>
          <w:szCs w:val="22"/>
        </w:rPr>
        <w:t xml:space="preserve">significativo (p &lt;0,05) </w:t>
      </w:r>
      <w:r w:rsidR="009775A0">
        <w:rPr>
          <w:sz w:val="22"/>
          <w:szCs w:val="22"/>
        </w:rPr>
        <w:t xml:space="preserve">em todas as faixas etárias, para quase todas as medidas relativas, </w:t>
      </w:r>
      <w:r w:rsidR="00A87FB9" w:rsidRPr="00A87FB9">
        <w:rPr>
          <w:sz w:val="22"/>
          <w:szCs w:val="22"/>
        </w:rPr>
        <w:t>e apresentou diferenças métricas de 6 a 22 anos</w:t>
      </w:r>
      <w:r w:rsidR="00A87FB9">
        <w:rPr>
          <w:sz w:val="22"/>
          <w:szCs w:val="22"/>
        </w:rPr>
        <w:t>. O</w:t>
      </w:r>
      <w:r w:rsidR="009775A0">
        <w:rPr>
          <w:sz w:val="22"/>
          <w:szCs w:val="22"/>
        </w:rPr>
        <w:t xml:space="preserve"> teste Post</w:t>
      </w:r>
      <w:r w:rsidR="00A87FB9" w:rsidRPr="00A87FB9">
        <w:rPr>
          <w:sz w:val="22"/>
          <w:szCs w:val="22"/>
        </w:rPr>
        <w:t>-hoc</w:t>
      </w:r>
      <w:r w:rsidR="009775A0">
        <w:rPr>
          <w:sz w:val="22"/>
          <w:szCs w:val="22"/>
        </w:rPr>
        <w:t xml:space="preserve"> indicou que as diferenças de crescimento ocorreram em todas as </w:t>
      </w:r>
      <w:r>
        <w:rPr>
          <w:sz w:val="22"/>
          <w:szCs w:val="22"/>
        </w:rPr>
        <w:t>medidas relativas d</w:t>
      </w:r>
      <w:r w:rsidR="009775A0" w:rsidRPr="009775A0">
        <w:rPr>
          <w:sz w:val="22"/>
          <w:szCs w:val="22"/>
        </w:rPr>
        <w:t>as faixas etárias de 6-10, 10-14</w:t>
      </w:r>
      <w:r>
        <w:rPr>
          <w:sz w:val="22"/>
          <w:szCs w:val="22"/>
        </w:rPr>
        <w:t>, decrescendo para 8 nos</w:t>
      </w:r>
      <w:r w:rsidR="009775A0" w:rsidRPr="009775A0">
        <w:rPr>
          <w:sz w:val="22"/>
          <w:szCs w:val="22"/>
        </w:rPr>
        <w:t xml:space="preserve"> 14-18 anos. Na faixa etária de 18-22 anos, as diferenças de crescimento foram observadas somente para </w:t>
      </w:r>
      <w:r>
        <w:rPr>
          <w:sz w:val="22"/>
          <w:szCs w:val="22"/>
        </w:rPr>
        <w:t>duas associações de medição.</w:t>
      </w:r>
    </w:p>
    <w:p w14:paraId="11E15F51" w14:textId="48223E1F" w:rsidR="00D756F0" w:rsidRDefault="00AC2A28" w:rsidP="00A8064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Observou-se que </w:t>
      </w:r>
      <w:r w:rsidR="00E166DE" w:rsidRPr="00E166DE">
        <w:rPr>
          <w:sz w:val="22"/>
          <w:szCs w:val="22"/>
        </w:rPr>
        <w:t xml:space="preserve">entre 6-10 anos, a largura da boca foi a dimensão facial com maior porcentagem de crescimento (10,9%). No entanto, em indivíduos de 10 a 14 anos, a largura nasal apresentou maior porcentagem de crescimento (10,3%), enquanto em indivíduos com idade entre 14-18 e 18-22 anos, a altura do terço inferior </w:t>
      </w:r>
      <w:r w:rsidR="00E166DE">
        <w:rPr>
          <w:sz w:val="22"/>
          <w:szCs w:val="22"/>
        </w:rPr>
        <w:t>da face</w:t>
      </w:r>
      <w:r w:rsidR="00E166DE" w:rsidRPr="00E166DE">
        <w:rPr>
          <w:sz w:val="22"/>
          <w:szCs w:val="22"/>
        </w:rPr>
        <w:t xml:space="preserve"> foi a dimensã</w:t>
      </w:r>
      <w:r w:rsidR="00E166DE">
        <w:rPr>
          <w:sz w:val="22"/>
          <w:szCs w:val="22"/>
        </w:rPr>
        <w:t>o facial com maior crescimento p</w:t>
      </w:r>
      <w:r w:rsidR="00E166DE" w:rsidRPr="00E166DE">
        <w:rPr>
          <w:sz w:val="22"/>
          <w:szCs w:val="22"/>
        </w:rPr>
        <w:t>ercentual</w:t>
      </w:r>
      <w:r w:rsidR="00C8696B">
        <w:rPr>
          <w:sz w:val="22"/>
          <w:szCs w:val="22"/>
        </w:rPr>
        <w:t>,</w:t>
      </w:r>
      <w:r w:rsidR="004256BB">
        <w:rPr>
          <w:sz w:val="22"/>
          <w:szCs w:val="22"/>
        </w:rPr>
        <w:t xml:space="preserve"> </w:t>
      </w:r>
      <w:r w:rsidR="00E166DE" w:rsidRPr="00E166DE">
        <w:rPr>
          <w:sz w:val="22"/>
          <w:szCs w:val="22"/>
        </w:rPr>
        <w:t>apresentando crescimento de 5,5% e 2,8%, respectivamente. A altura do terço inferior da face também apresentou a maior porcentagem de crescimento (28,8%) na análise cumulativa (6-22 anos). Esta porcentagem de crescimento foi mais que o dobro da largura do rosto (</w:t>
      </w:r>
      <w:proofErr w:type="spellStart"/>
      <w:r w:rsidR="00E166DE" w:rsidRPr="00E166DE">
        <w:rPr>
          <w:sz w:val="22"/>
          <w:szCs w:val="22"/>
        </w:rPr>
        <w:t>zy-zy</w:t>
      </w:r>
      <w:proofErr w:type="spellEnd"/>
      <w:r w:rsidR="00E166DE" w:rsidRPr="00E166DE">
        <w:rPr>
          <w:sz w:val="22"/>
          <w:szCs w:val="22"/>
        </w:rPr>
        <w:t>: 13,63%)</w:t>
      </w:r>
      <w:r w:rsidR="00D756F0">
        <w:rPr>
          <w:sz w:val="22"/>
          <w:szCs w:val="22"/>
        </w:rPr>
        <w:t xml:space="preserve"> (Figura 2)</w:t>
      </w:r>
      <w:r w:rsidR="00E166DE" w:rsidRPr="00E166DE">
        <w:rPr>
          <w:sz w:val="22"/>
          <w:szCs w:val="22"/>
        </w:rPr>
        <w:t>.</w:t>
      </w:r>
    </w:p>
    <w:p w14:paraId="0F2E314A" w14:textId="77777777" w:rsidR="00AB1B26" w:rsidRDefault="00AB1B26" w:rsidP="00AB1B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Os resultados </w:t>
      </w:r>
      <w:r w:rsidRPr="00FE0E66">
        <w:rPr>
          <w:sz w:val="22"/>
          <w:szCs w:val="22"/>
        </w:rPr>
        <w:t xml:space="preserve">indicam que o diâmetro da íris pode ser considerado como uma métrica de referência promissora para análise de imagens faciais, especialmente para estimativa de idade com base no crescimento facial. </w:t>
      </w:r>
      <w:r w:rsidRPr="002F2B2A">
        <w:rPr>
          <w:sz w:val="22"/>
          <w:szCs w:val="22"/>
        </w:rPr>
        <w:t>Apesar de ser mais eficiente para estimativas de idade de indivíduos com menos de 1</w:t>
      </w:r>
      <w:r>
        <w:rPr>
          <w:sz w:val="22"/>
          <w:szCs w:val="22"/>
        </w:rPr>
        <w:t>8</w:t>
      </w:r>
      <w:r w:rsidRPr="002F2B2A">
        <w:rPr>
          <w:sz w:val="22"/>
          <w:szCs w:val="22"/>
        </w:rPr>
        <w:t xml:space="preserve"> anos, o método proposto ainda detectou crescimento facial </w:t>
      </w:r>
      <w:r>
        <w:rPr>
          <w:sz w:val="22"/>
          <w:szCs w:val="22"/>
        </w:rPr>
        <w:t xml:space="preserve">residual no início da fase adulta. </w:t>
      </w:r>
      <w:r w:rsidRPr="00FE0E66">
        <w:rPr>
          <w:sz w:val="22"/>
          <w:szCs w:val="22"/>
        </w:rPr>
        <w:t>Os resultados apresentados são ainda mais relevantes quando se considera que foram alcançados com gêneros agrupados e dentro de uma população de alta miscigenação. A forte correlação entre a medida da íris e</w:t>
      </w:r>
      <w:r>
        <w:rPr>
          <w:sz w:val="22"/>
          <w:szCs w:val="22"/>
        </w:rPr>
        <w:t xml:space="preserve"> </w:t>
      </w:r>
      <w:r w:rsidRPr="00FE0E66">
        <w:rPr>
          <w:sz w:val="22"/>
          <w:szCs w:val="22"/>
        </w:rPr>
        <w:t>a idade na população brasileira sugere que a aplicabilidade potencial deste método em uma população mais homogênea, estratificada pelo sexo, tenderia a ser mais discriminatória para as faixas etárias e as estruturas faciais.</w:t>
      </w:r>
    </w:p>
    <w:p w14:paraId="23EB266F" w14:textId="7777777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0E125975" w14:textId="77777777" w:rsidR="00D756F0" w:rsidRDefault="00D756F0" w:rsidP="00A8064B">
      <w:pPr>
        <w:spacing w:line="240" w:lineRule="auto"/>
        <w:ind w:firstLine="851"/>
        <w:rPr>
          <w:sz w:val="22"/>
          <w:szCs w:val="22"/>
        </w:rPr>
      </w:pPr>
    </w:p>
    <w:p w14:paraId="5B154130" w14:textId="77777777" w:rsidR="004256BB" w:rsidRDefault="004256BB" w:rsidP="00AB1B26">
      <w:pPr>
        <w:spacing w:line="240" w:lineRule="auto"/>
        <w:rPr>
          <w:sz w:val="22"/>
          <w:szCs w:val="22"/>
        </w:rPr>
      </w:pPr>
    </w:p>
    <w:p w14:paraId="5972B6A9" w14:textId="77777777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20D664A3" w14:textId="77777777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5BDF82A0" w14:textId="2D3C535C" w:rsidR="004256BB" w:rsidRDefault="00AB1B26" w:rsidP="00A8064B">
      <w:pPr>
        <w:spacing w:line="240" w:lineRule="auto"/>
        <w:ind w:firstLine="851"/>
        <w:rPr>
          <w:sz w:val="22"/>
          <w:szCs w:val="22"/>
        </w:rPr>
      </w:pPr>
      <w:r w:rsidRPr="004E618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544849" wp14:editId="2F220DE5">
            <wp:simplePos x="0" y="0"/>
            <wp:positionH relativeFrom="margin">
              <wp:posOffset>927735</wp:posOffset>
            </wp:positionH>
            <wp:positionV relativeFrom="paragraph">
              <wp:posOffset>-46990</wp:posOffset>
            </wp:positionV>
            <wp:extent cx="4295775" cy="4072890"/>
            <wp:effectExtent l="0" t="0" r="9525" b="3810"/>
            <wp:wrapSquare wrapText="bothSides"/>
            <wp:docPr id="8" name="Imagem 8" descr="C:\Users\Carlos\AppData\Local\Microsoft\Windows\INetCache\Content.Word\Fi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s\AppData\Local\Microsoft\Windows\INetCache\Content.Word\Fig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23EB" w14:textId="451E0F43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15A5C883" w14:textId="77777777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140A10C6" w14:textId="77777777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318B0F03" w14:textId="41284820" w:rsidR="004256BB" w:rsidRDefault="004256BB" w:rsidP="00A8064B">
      <w:pPr>
        <w:spacing w:line="240" w:lineRule="auto"/>
        <w:ind w:firstLine="851"/>
        <w:rPr>
          <w:sz w:val="22"/>
          <w:szCs w:val="22"/>
        </w:rPr>
      </w:pPr>
    </w:p>
    <w:p w14:paraId="2FAB131A" w14:textId="4EFED122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5108A0AA" w14:textId="197E9680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530879E4" w14:textId="317E7C32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0738FB65" w14:textId="01F259B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301103D2" w14:textId="77D371C5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17CC56A0" w14:textId="3F0A9A0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1523E89B" w14:textId="4F7DD63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1D9F49CB" w14:textId="3DC73A1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02DEAF2A" w14:textId="38B3689F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33F29D80" w14:textId="7730656F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7D90F6AA" w14:textId="4800CC32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3D53CD52" w14:textId="1EF1B48A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52F89C7A" w14:textId="070BA4F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2697DE6C" w14:textId="168DB975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2B3C9081" w14:textId="59A80FCB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4D807257" w14:textId="3E01DEA1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53AF4666" w14:textId="10641513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062CAC3F" w14:textId="271A9CBC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7AD8A3A8" w14:textId="02ABC4C7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640B5BC4" w14:textId="484A5B8D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</w:p>
    <w:p w14:paraId="22CC5216" w14:textId="67A71C6B" w:rsidR="00AB1B26" w:rsidRDefault="00AB1B26" w:rsidP="00A8064B">
      <w:pPr>
        <w:spacing w:line="240" w:lineRule="auto"/>
        <w:ind w:firstLine="851"/>
        <w:rPr>
          <w:sz w:val="22"/>
          <w:szCs w:val="22"/>
        </w:rPr>
      </w:pPr>
      <w:r w:rsidRPr="00A945C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0F456B" wp14:editId="0A6DD2F3">
                <wp:simplePos x="0" y="0"/>
                <wp:positionH relativeFrom="margin">
                  <wp:posOffset>927735</wp:posOffset>
                </wp:positionH>
                <wp:positionV relativeFrom="paragraph">
                  <wp:posOffset>10160</wp:posOffset>
                </wp:positionV>
                <wp:extent cx="4295775" cy="390525"/>
                <wp:effectExtent l="0" t="0" r="9525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95E4" w14:textId="77777777" w:rsidR="0070731A" w:rsidRDefault="0070731A" w:rsidP="00D756F0">
                            <w:pPr>
                              <w:spacing w:line="240" w:lineRule="auto"/>
                            </w:pPr>
                            <w:r w:rsidRPr="00D756F0">
                              <w:rPr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756F0">
                              <w:rPr>
                                <w:sz w:val="16"/>
                                <w:szCs w:val="16"/>
                              </w:rPr>
                              <w:t xml:space="preserve"> - Classificação do crescimento facial para as quatro faixas etárias (6-10, 10-14, 14-18, 18-22) e para o crescimento cumulativo (6-22)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r w:rsidRPr="00D756F0">
                              <w:rPr>
                                <w:sz w:val="16"/>
                                <w:szCs w:val="16"/>
                              </w:rPr>
                              <w:t xml:space="preserve"> o diâmetro da íris como referência fixa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F456B" id="Caixa de Texto 2" o:spid="_x0000_s1027" type="#_x0000_t202" style="position:absolute;left:0;text-align:left;margin-left:73.05pt;margin-top:.8pt;width:338.2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rBJgIAACg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" stroked="f">
                <v:textbox>
                  <w:txbxContent>
                    <w:p w14:paraId="770B95E4" w14:textId="77777777" w:rsidR="0070731A" w:rsidRDefault="0070731A" w:rsidP="00D756F0">
                      <w:pPr>
                        <w:spacing w:line="240" w:lineRule="auto"/>
                      </w:pPr>
                      <w:r w:rsidRPr="00D756F0">
                        <w:rPr>
                          <w:sz w:val="16"/>
                          <w:szCs w:val="16"/>
                        </w:rPr>
                        <w:t xml:space="preserve">Figura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D756F0">
                        <w:rPr>
                          <w:sz w:val="16"/>
                          <w:szCs w:val="16"/>
                        </w:rPr>
                        <w:t xml:space="preserve"> - Classificação do crescimento facial para as quatro faixas etárias (6-10, 10-14, 14-18, 18-22) e para o crescimento cumulativo (6-22) </w:t>
                      </w:r>
                      <w:r>
                        <w:rPr>
                          <w:sz w:val="16"/>
                          <w:szCs w:val="16"/>
                        </w:rPr>
                        <w:t>tendo</w:t>
                      </w:r>
                      <w:r w:rsidRPr="00D756F0">
                        <w:rPr>
                          <w:sz w:val="16"/>
                          <w:szCs w:val="16"/>
                        </w:rPr>
                        <w:t xml:space="preserve"> o diâmetro da íris como referência fixa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48C2E" w14:textId="77777777"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14:paraId="4CC2B8F8" w14:textId="77777777" w:rsidR="00A945CF" w:rsidRDefault="00A945CF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</w:p>
    <w:p w14:paraId="05E11AD8" w14:textId="77777777" w:rsidR="00AB1B26" w:rsidRDefault="00AB1B26" w:rsidP="00AB1B26">
      <w:pPr>
        <w:spacing w:line="240" w:lineRule="auto"/>
        <w:ind w:firstLine="851"/>
        <w:rPr>
          <w:sz w:val="22"/>
          <w:szCs w:val="22"/>
        </w:rPr>
      </w:pPr>
    </w:p>
    <w:p w14:paraId="1DAB7B2E" w14:textId="77777777" w:rsidR="00AB1B26" w:rsidRDefault="00AB1B26" w:rsidP="00AB1B26">
      <w:pPr>
        <w:spacing w:line="240" w:lineRule="auto"/>
        <w:ind w:firstLine="851"/>
        <w:rPr>
          <w:sz w:val="22"/>
          <w:szCs w:val="22"/>
        </w:rPr>
      </w:pPr>
      <w:r w:rsidRPr="0012779F">
        <w:rPr>
          <w:sz w:val="22"/>
          <w:szCs w:val="22"/>
        </w:rPr>
        <w:t>A aplicação desta referência antropométrica em estudos futuros é promissora e traz desempenho inovador para a prática forense, especialmente no que diz respeito à estimativa de idade das vítimas envolvidas em casos de abuso infantil.</w:t>
      </w:r>
    </w:p>
    <w:p w14:paraId="653EF063" w14:textId="77777777" w:rsidR="00A945CF" w:rsidRDefault="00A945CF" w:rsidP="0065142A">
      <w:pPr>
        <w:pStyle w:val="Nivel1"/>
        <w:spacing w:line="240" w:lineRule="auto"/>
        <w:rPr>
          <w:sz w:val="20"/>
          <w:szCs w:val="22"/>
        </w:rPr>
      </w:pPr>
    </w:p>
    <w:p w14:paraId="3A98EE31" w14:textId="77777777"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r w:rsidRPr="00FC71F5">
        <w:rPr>
          <w:sz w:val="20"/>
          <w:szCs w:val="22"/>
        </w:rPr>
        <w:t>REFERÊNCIAS BIBLIOGRÁFICAS</w:t>
      </w:r>
      <w:bookmarkEnd w:id="1"/>
    </w:p>
    <w:p w14:paraId="17F69AAE" w14:textId="611744A4" w:rsidR="00C4214E" w:rsidRPr="004256BB" w:rsidRDefault="0065142A" w:rsidP="0065142A">
      <w:pPr>
        <w:spacing w:line="240" w:lineRule="auto"/>
        <w:rPr>
          <w:sz w:val="20"/>
          <w:szCs w:val="22"/>
          <w:lang w:val="en-US"/>
        </w:rPr>
      </w:pPr>
      <w:r w:rsidRPr="004256BB">
        <w:rPr>
          <w:sz w:val="20"/>
          <w:szCs w:val="22"/>
          <w:lang w:val="en-US"/>
        </w:rPr>
        <w:t xml:space="preserve">1. </w:t>
      </w:r>
      <w:r w:rsidR="00B3685C" w:rsidRPr="004256BB">
        <w:rPr>
          <w:bCs/>
          <w:sz w:val="20"/>
          <w:szCs w:val="22"/>
          <w:lang w:val="en-US"/>
        </w:rPr>
        <w:t>AUGUSTEYN, R. C; NANKIVIL, D; MOHAMED. A; MACEO, B; FARADIA, P; JEAN-MARIE, P</w:t>
      </w:r>
      <w:r w:rsidR="00C4214E" w:rsidRPr="004256BB">
        <w:rPr>
          <w:bCs/>
          <w:sz w:val="20"/>
          <w:szCs w:val="22"/>
          <w:lang w:val="en-US"/>
        </w:rPr>
        <w:t xml:space="preserve">. Human ocular biometry. </w:t>
      </w:r>
      <w:proofErr w:type="spellStart"/>
      <w:r w:rsidR="00C4214E" w:rsidRPr="004256BB">
        <w:rPr>
          <w:bCs/>
          <w:i/>
          <w:sz w:val="20"/>
          <w:szCs w:val="22"/>
          <w:lang w:val="en-US"/>
        </w:rPr>
        <w:t>Exp</w:t>
      </w:r>
      <w:proofErr w:type="spellEnd"/>
      <w:r w:rsidR="00C4214E" w:rsidRPr="004256BB">
        <w:rPr>
          <w:bCs/>
          <w:i/>
          <w:sz w:val="20"/>
          <w:szCs w:val="22"/>
          <w:lang w:val="en-US"/>
        </w:rPr>
        <w:t xml:space="preserve"> Eye Res</w:t>
      </w:r>
      <w:r w:rsidR="00C4214E" w:rsidRPr="004256BB">
        <w:rPr>
          <w:bCs/>
          <w:sz w:val="20"/>
          <w:szCs w:val="22"/>
          <w:lang w:val="en-US"/>
        </w:rPr>
        <w:t xml:space="preserve">. </w:t>
      </w:r>
      <w:r w:rsidR="00B3685C" w:rsidRPr="004256BB">
        <w:rPr>
          <w:bCs/>
          <w:sz w:val="20"/>
          <w:szCs w:val="22"/>
          <w:lang w:val="en-US"/>
        </w:rPr>
        <w:t>v. 102,</w:t>
      </w:r>
      <w:r w:rsidR="00C4214E" w:rsidRPr="004256BB">
        <w:rPr>
          <w:bCs/>
          <w:sz w:val="20"/>
          <w:szCs w:val="22"/>
          <w:lang w:val="en-US"/>
        </w:rPr>
        <w:t xml:space="preserve"> </w:t>
      </w:r>
      <w:r w:rsidR="00B3685C" w:rsidRPr="004256BB">
        <w:rPr>
          <w:bCs/>
          <w:sz w:val="20"/>
          <w:szCs w:val="22"/>
          <w:lang w:val="en-US"/>
        </w:rPr>
        <w:t>p. 70–75,</w:t>
      </w:r>
      <w:r w:rsidR="00C4214E" w:rsidRPr="004256BB">
        <w:rPr>
          <w:bCs/>
          <w:sz w:val="20"/>
          <w:szCs w:val="22"/>
          <w:lang w:val="en-US"/>
        </w:rPr>
        <w:t xml:space="preserve"> </w:t>
      </w:r>
      <w:r w:rsidR="00B3685C" w:rsidRPr="004256BB">
        <w:rPr>
          <w:bCs/>
          <w:sz w:val="20"/>
          <w:szCs w:val="22"/>
          <w:lang w:val="en-US"/>
        </w:rPr>
        <w:t xml:space="preserve">2012. </w:t>
      </w:r>
      <w:r w:rsidR="00C4214E" w:rsidRPr="004256BB">
        <w:rPr>
          <w:bCs/>
          <w:sz w:val="20"/>
          <w:szCs w:val="22"/>
          <w:lang w:val="en-US"/>
        </w:rPr>
        <w:t>doi:10.1016/j.exer.2012.06.009.</w:t>
      </w:r>
    </w:p>
    <w:p w14:paraId="6A98C69F" w14:textId="024DE85C" w:rsidR="00D756F0" w:rsidRPr="00D40702" w:rsidRDefault="00C4214E" w:rsidP="0065142A">
      <w:pPr>
        <w:spacing w:line="240" w:lineRule="auto"/>
        <w:rPr>
          <w:bCs/>
          <w:sz w:val="20"/>
          <w:szCs w:val="22"/>
          <w:lang w:val="en-US"/>
        </w:rPr>
      </w:pPr>
      <w:r w:rsidRPr="004256BB">
        <w:rPr>
          <w:bCs/>
          <w:sz w:val="20"/>
          <w:szCs w:val="22"/>
          <w:lang w:val="en-US"/>
        </w:rPr>
        <w:t xml:space="preserve">2. </w:t>
      </w:r>
      <w:r w:rsidR="00B3685C" w:rsidRPr="004256BB">
        <w:rPr>
          <w:bCs/>
          <w:sz w:val="20"/>
          <w:szCs w:val="22"/>
          <w:lang w:val="en-US"/>
        </w:rPr>
        <w:t>CATTANEO, C; OBERTOVÁ, Z. RATNAYAKE, M; MARASCIUOLO, L; TUTKUVIENE, J; POPPA, P;</w:t>
      </w:r>
      <w:r w:rsidR="00B3685C" w:rsidRPr="004256BB">
        <w:rPr>
          <w:lang w:val="en-US"/>
        </w:rPr>
        <w:t xml:space="preserve"> </w:t>
      </w:r>
      <w:r w:rsidR="00B3685C" w:rsidRPr="004256BB">
        <w:rPr>
          <w:bCs/>
          <w:sz w:val="20"/>
          <w:szCs w:val="22"/>
          <w:lang w:val="en-US"/>
        </w:rPr>
        <w:t>GIBELLI, D; GABRIEL, P; RITZ-TIMME, S</w:t>
      </w:r>
      <w:r w:rsidR="00D756F0" w:rsidRPr="004256BB">
        <w:rPr>
          <w:bCs/>
          <w:sz w:val="20"/>
          <w:szCs w:val="22"/>
          <w:lang w:val="en-US"/>
        </w:rPr>
        <w:t xml:space="preserve">. </w:t>
      </w:r>
      <w:r w:rsidR="00D756F0" w:rsidRPr="00D40702">
        <w:rPr>
          <w:bCs/>
          <w:sz w:val="20"/>
          <w:szCs w:val="22"/>
          <w:lang w:val="en-US"/>
        </w:rPr>
        <w:t xml:space="preserve">Can facial proportions taken from images be of use for ageing in cases of suspected child pornography? A pilot study. </w:t>
      </w:r>
      <w:proofErr w:type="spellStart"/>
      <w:r w:rsidR="00D756F0" w:rsidRPr="00B3685C">
        <w:rPr>
          <w:bCs/>
          <w:i/>
          <w:sz w:val="20"/>
          <w:szCs w:val="22"/>
          <w:lang w:val="en-US"/>
        </w:rPr>
        <w:t>Int</w:t>
      </w:r>
      <w:proofErr w:type="spellEnd"/>
      <w:r w:rsidR="00D756F0" w:rsidRPr="00B3685C">
        <w:rPr>
          <w:bCs/>
          <w:i/>
          <w:sz w:val="20"/>
          <w:szCs w:val="22"/>
          <w:lang w:val="en-US"/>
        </w:rPr>
        <w:t xml:space="preserve"> J Legal Med. </w:t>
      </w:r>
      <w:r w:rsidR="00B3685C">
        <w:rPr>
          <w:bCs/>
          <w:sz w:val="20"/>
          <w:szCs w:val="22"/>
          <w:lang w:val="en-US"/>
        </w:rPr>
        <w:t xml:space="preserve">v. </w:t>
      </w:r>
      <w:r w:rsidR="00D756F0" w:rsidRPr="00D40702">
        <w:rPr>
          <w:bCs/>
          <w:sz w:val="20"/>
          <w:szCs w:val="22"/>
          <w:lang w:val="en-US"/>
        </w:rPr>
        <w:t>126</w:t>
      </w:r>
      <w:r w:rsidR="00B3685C">
        <w:rPr>
          <w:bCs/>
          <w:sz w:val="20"/>
          <w:szCs w:val="22"/>
          <w:lang w:val="en-US"/>
        </w:rPr>
        <w:t>, n. 1, p.</w:t>
      </w:r>
      <w:r w:rsidR="00D756F0" w:rsidRPr="00D40702">
        <w:rPr>
          <w:bCs/>
          <w:sz w:val="20"/>
          <w:szCs w:val="22"/>
          <w:lang w:val="en-US"/>
        </w:rPr>
        <w:t xml:space="preserve"> 139-44</w:t>
      </w:r>
      <w:r w:rsidR="00B3685C">
        <w:rPr>
          <w:bCs/>
          <w:sz w:val="20"/>
          <w:szCs w:val="22"/>
          <w:lang w:val="en-US"/>
        </w:rPr>
        <w:t>, 2012</w:t>
      </w:r>
      <w:r w:rsidR="00D756F0" w:rsidRPr="00D40702">
        <w:rPr>
          <w:bCs/>
          <w:sz w:val="20"/>
          <w:szCs w:val="22"/>
          <w:lang w:val="en-US"/>
        </w:rPr>
        <w:t xml:space="preserve">. </w:t>
      </w:r>
      <w:proofErr w:type="spellStart"/>
      <w:r w:rsidR="00D756F0" w:rsidRPr="00D40702">
        <w:rPr>
          <w:bCs/>
          <w:sz w:val="20"/>
          <w:szCs w:val="22"/>
          <w:lang w:val="en-US"/>
        </w:rPr>
        <w:t>doi</w:t>
      </w:r>
      <w:proofErr w:type="spellEnd"/>
      <w:r w:rsidR="00D756F0" w:rsidRPr="00D40702">
        <w:rPr>
          <w:bCs/>
          <w:sz w:val="20"/>
          <w:szCs w:val="22"/>
          <w:lang w:val="en-US"/>
        </w:rPr>
        <w:t xml:space="preserve">: 10.1007/s00414-011-0-0564-7 </w:t>
      </w:r>
    </w:p>
    <w:p w14:paraId="0208B18F" w14:textId="35FFB502" w:rsidR="00997E4E" w:rsidRPr="00D40702" w:rsidRDefault="00C4214E" w:rsidP="0065142A">
      <w:pPr>
        <w:spacing w:line="240" w:lineRule="auto"/>
        <w:rPr>
          <w:sz w:val="20"/>
          <w:szCs w:val="22"/>
          <w:lang w:val="en-US"/>
        </w:rPr>
      </w:pPr>
      <w:r w:rsidRPr="00D40702">
        <w:rPr>
          <w:sz w:val="20"/>
          <w:szCs w:val="22"/>
          <w:lang w:val="en-US"/>
        </w:rPr>
        <w:t>3</w:t>
      </w:r>
      <w:r w:rsidR="0065142A" w:rsidRPr="00D40702">
        <w:rPr>
          <w:sz w:val="20"/>
          <w:szCs w:val="22"/>
          <w:lang w:val="en-US"/>
        </w:rPr>
        <w:t xml:space="preserve">. </w:t>
      </w:r>
      <w:r w:rsidR="00B3685C">
        <w:rPr>
          <w:sz w:val="20"/>
          <w:szCs w:val="22"/>
          <w:lang w:val="en-US"/>
        </w:rPr>
        <w:t xml:space="preserve">ENLOW, </w:t>
      </w:r>
      <w:r w:rsidR="00B3685C" w:rsidRPr="00D40702">
        <w:rPr>
          <w:sz w:val="20"/>
          <w:szCs w:val="22"/>
          <w:lang w:val="en-US"/>
        </w:rPr>
        <w:t>D</w:t>
      </w:r>
      <w:r w:rsidR="00B3685C">
        <w:rPr>
          <w:sz w:val="20"/>
          <w:szCs w:val="22"/>
          <w:lang w:val="en-US"/>
        </w:rPr>
        <w:t xml:space="preserve">. </w:t>
      </w:r>
      <w:r w:rsidR="00997E4E" w:rsidRPr="00D40702">
        <w:rPr>
          <w:sz w:val="20"/>
          <w:szCs w:val="22"/>
          <w:lang w:val="en-US"/>
        </w:rPr>
        <w:t xml:space="preserve">H. </w:t>
      </w:r>
      <w:r w:rsidR="00997E4E" w:rsidRPr="00B3685C">
        <w:rPr>
          <w:i/>
          <w:sz w:val="20"/>
          <w:szCs w:val="22"/>
          <w:lang w:val="en-US"/>
        </w:rPr>
        <w:t>Facial Growth</w:t>
      </w:r>
      <w:r w:rsidR="00997E4E" w:rsidRPr="00D40702">
        <w:rPr>
          <w:sz w:val="20"/>
          <w:szCs w:val="22"/>
          <w:lang w:val="en-US"/>
        </w:rPr>
        <w:t>. 3rd ed. Philadelphia: Saunders; 1990.</w:t>
      </w:r>
    </w:p>
    <w:p w14:paraId="22906EBA" w14:textId="33C99C72" w:rsidR="00D756F0" w:rsidRPr="00D40702" w:rsidRDefault="00997E4E" w:rsidP="00D756F0">
      <w:pPr>
        <w:spacing w:line="240" w:lineRule="auto"/>
        <w:rPr>
          <w:sz w:val="20"/>
          <w:szCs w:val="22"/>
          <w:lang w:val="en-US"/>
        </w:rPr>
      </w:pPr>
      <w:r w:rsidRPr="00D40702">
        <w:rPr>
          <w:sz w:val="20"/>
          <w:szCs w:val="22"/>
          <w:lang w:val="en-US"/>
        </w:rPr>
        <w:t xml:space="preserve">4. </w:t>
      </w:r>
      <w:r w:rsidR="00B3685C">
        <w:rPr>
          <w:sz w:val="20"/>
          <w:szCs w:val="22"/>
          <w:lang w:val="en-US"/>
        </w:rPr>
        <w:t xml:space="preserve">FARKAS, </w:t>
      </w:r>
      <w:r w:rsidR="00B3685C" w:rsidRPr="00D40702">
        <w:rPr>
          <w:sz w:val="20"/>
          <w:szCs w:val="22"/>
          <w:lang w:val="en-US"/>
        </w:rPr>
        <w:t>L</w:t>
      </w:r>
      <w:r w:rsidR="00B3685C">
        <w:rPr>
          <w:sz w:val="20"/>
          <w:szCs w:val="22"/>
          <w:lang w:val="en-US"/>
        </w:rPr>
        <w:t xml:space="preserve">. </w:t>
      </w:r>
      <w:r w:rsidR="00B3685C" w:rsidRPr="00D40702">
        <w:rPr>
          <w:sz w:val="20"/>
          <w:szCs w:val="22"/>
          <w:lang w:val="en-US"/>
        </w:rPr>
        <w:t>G</w:t>
      </w:r>
      <w:r w:rsidR="00B3685C">
        <w:rPr>
          <w:sz w:val="20"/>
          <w:szCs w:val="22"/>
          <w:lang w:val="en-US"/>
        </w:rPr>
        <w:t>;</w:t>
      </w:r>
      <w:r w:rsidR="00D756F0" w:rsidRPr="00D40702">
        <w:rPr>
          <w:sz w:val="20"/>
          <w:szCs w:val="22"/>
          <w:lang w:val="en-US"/>
        </w:rPr>
        <w:t xml:space="preserve"> </w:t>
      </w:r>
      <w:r w:rsidR="00B3685C" w:rsidRPr="00D40702">
        <w:rPr>
          <w:sz w:val="20"/>
          <w:szCs w:val="22"/>
          <w:lang w:val="en-US"/>
        </w:rPr>
        <w:t>MUNRO</w:t>
      </w:r>
      <w:r w:rsidR="00B3685C">
        <w:rPr>
          <w:sz w:val="20"/>
          <w:szCs w:val="22"/>
          <w:lang w:val="en-US"/>
        </w:rPr>
        <w:t>,</w:t>
      </w:r>
      <w:r w:rsidR="00B3685C" w:rsidRPr="00D40702">
        <w:rPr>
          <w:sz w:val="20"/>
          <w:szCs w:val="22"/>
          <w:lang w:val="en-US"/>
        </w:rPr>
        <w:t xml:space="preserve"> I</w:t>
      </w:r>
      <w:r w:rsidR="00B3685C">
        <w:rPr>
          <w:sz w:val="20"/>
          <w:szCs w:val="22"/>
          <w:lang w:val="en-US"/>
        </w:rPr>
        <w:t xml:space="preserve">. </w:t>
      </w:r>
      <w:r w:rsidR="00B3685C" w:rsidRPr="00D40702">
        <w:rPr>
          <w:sz w:val="20"/>
          <w:szCs w:val="22"/>
          <w:lang w:val="en-US"/>
        </w:rPr>
        <w:t>R</w:t>
      </w:r>
      <w:r w:rsidR="00D756F0" w:rsidRPr="00D40702">
        <w:rPr>
          <w:sz w:val="20"/>
          <w:szCs w:val="22"/>
          <w:lang w:val="en-US"/>
        </w:rPr>
        <w:t xml:space="preserve">. </w:t>
      </w:r>
      <w:r w:rsidR="00D756F0" w:rsidRPr="00B3685C">
        <w:rPr>
          <w:i/>
          <w:sz w:val="20"/>
          <w:szCs w:val="22"/>
          <w:lang w:val="en-US"/>
        </w:rPr>
        <w:t>Anthropometric facial proportions in medicine</w:t>
      </w:r>
      <w:r w:rsidR="00D756F0" w:rsidRPr="00D40702">
        <w:rPr>
          <w:sz w:val="20"/>
          <w:szCs w:val="22"/>
          <w:lang w:val="en-US"/>
        </w:rPr>
        <w:t>. 1st ed. Springfield: Charles C Thomas Publisher; 1987</w:t>
      </w:r>
      <w:r w:rsidR="00B3685C">
        <w:rPr>
          <w:sz w:val="20"/>
          <w:szCs w:val="22"/>
          <w:lang w:val="en-US"/>
        </w:rPr>
        <w:t>.</w:t>
      </w:r>
    </w:p>
    <w:p w14:paraId="19F49CC2" w14:textId="1FC37A47" w:rsidR="00C4214E" w:rsidRPr="00AB1B26" w:rsidRDefault="00C4214E" w:rsidP="00C4214E">
      <w:pPr>
        <w:spacing w:line="240" w:lineRule="auto"/>
        <w:rPr>
          <w:sz w:val="20"/>
          <w:szCs w:val="22"/>
          <w:lang w:val="en-US"/>
        </w:rPr>
      </w:pPr>
      <w:r w:rsidRPr="004256BB">
        <w:rPr>
          <w:sz w:val="20"/>
          <w:szCs w:val="22"/>
          <w:lang w:val="en-US"/>
        </w:rPr>
        <w:t xml:space="preserve">4. </w:t>
      </w:r>
      <w:r w:rsidR="00B3685C" w:rsidRPr="004256BB">
        <w:rPr>
          <w:sz w:val="20"/>
          <w:szCs w:val="22"/>
          <w:lang w:val="en-US"/>
        </w:rPr>
        <w:t>MACHADO, C.E.P; FLORES, M.R.P; LIMA, L.N.C; TINOCO, R.L.R; FRANCO, A; BEZERRA, A.C.B</w:t>
      </w:r>
      <w:r w:rsidR="003D2F0A" w:rsidRPr="004256BB">
        <w:rPr>
          <w:sz w:val="20"/>
          <w:szCs w:val="22"/>
          <w:lang w:val="en-US"/>
        </w:rPr>
        <w:t>; EVISON, M. P; GUIMARÃES, M. A.</w:t>
      </w:r>
      <w:r w:rsidRPr="004256BB">
        <w:rPr>
          <w:sz w:val="20"/>
          <w:szCs w:val="22"/>
          <w:lang w:val="en-US"/>
        </w:rPr>
        <w:t xml:space="preserve"> </w:t>
      </w:r>
      <w:r w:rsidRPr="00D40702">
        <w:rPr>
          <w:sz w:val="20"/>
          <w:szCs w:val="22"/>
          <w:lang w:val="en-US"/>
        </w:rPr>
        <w:t xml:space="preserve">A new approach for the analysis of facial growth and age estimation: Iris ratio. </w:t>
      </w:r>
      <w:proofErr w:type="spellStart"/>
      <w:r w:rsidRPr="00AB1B26">
        <w:rPr>
          <w:i/>
          <w:sz w:val="20"/>
          <w:szCs w:val="22"/>
          <w:lang w:val="en-US"/>
        </w:rPr>
        <w:t>PLoS</w:t>
      </w:r>
      <w:proofErr w:type="spellEnd"/>
      <w:r w:rsidRPr="00AB1B26">
        <w:rPr>
          <w:i/>
          <w:sz w:val="20"/>
          <w:szCs w:val="22"/>
          <w:lang w:val="en-US"/>
        </w:rPr>
        <w:t xml:space="preserve"> ONE</w:t>
      </w:r>
      <w:r w:rsidR="003D2F0A">
        <w:rPr>
          <w:i/>
          <w:sz w:val="20"/>
          <w:szCs w:val="22"/>
          <w:lang w:val="en-US"/>
        </w:rPr>
        <w:t>.</w:t>
      </w:r>
      <w:r w:rsidRPr="00AB1B26">
        <w:rPr>
          <w:sz w:val="20"/>
          <w:szCs w:val="22"/>
          <w:lang w:val="en-US"/>
        </w:rPr>
        <w:t xml:space="preserve"> </w:t>
      </w:r>
      <w:r w:rsidR="003D2F0A">
        <w:rPr>
          <w:sz w:val="20"/>
          <w:szCs w:val="22"/>
          <w:lang w:val="en-US"/>
        </w:rPr>
        <w:t>v. 12, n. 7,</w:t>
      </w:r>
      <w:r w:rsidRPr="00AB1B26">
        <w:rPr>
          <w:sz w:val="20"/>
          <w:szCs w:val="22"/>
          <w:lang w:val="en-US"/>
        </w:rPr>
        <w:t xml:space="preserve"> e0180330</w:t>
      </w:r>
      <w:r w:rsidR="003D2F0A">
        <w:rPr>
          <w:sz w:val="20"/>
          <w:szCs w:val="22"/>
          <w:lang w:val="en-US"/>
        </w:rPr>
        <w:t>, 2017. d</w:t>
      </w:r>
      <w:r w:rsidRPr="00AB1B26">
        <w:rPr>
          <w:sz w:val="20"/>
          <w:szCs w:val="22"/>
          <w:lang w:val="en-US"/>
        </w:rPr>
        <w:t>oi</w:t>
      </w:r>
      <w:r w:rsidR="003D2F0A">
        <w:rPr>
          <w:sz w:val="20"/>
          <w:szCs w:val="22"/>
          <w:lang w:val="en-US"/>
        </w:rPr>
        <w:t>:</w:t>
      </w:r>
      <w:r w:rsidRPr="00AB1B26">
        <w:rPr>
          <w:sz w:val="20"/>
          <w:szCs w:val="22"/>
          <w:lang w:val="en-US"/>
        </w:rPr>
        <w:t>10.1371/journal. pone.0180330</w:t>
      </w:r>
    </w:p>
    <w:p w14:paraId="582E7805" w14:textId="77777777" w:rsidR="001D2633" w:rsidRPr="00AB1B26" w:rsidRDefault="001D2633" w:rsidP="00BD2918">
      <w:pPr>
        <w:spacing w:line="240" w:lineRule="auto"/>
        <w:rPr>
          <w:sz w:val="20"/>
          <w:szCs w:val="22"/>
          <w:lang w:val="en-US"/>
        </w:rPr>
      </w:pPr>
    </w:p>
    <w:sectPr w:rsidR="001D2633" w:rsidRPr="00AB1B26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0405D" w14:textId="77777777" w:rsidR="004D5777" w:rsidRDefault="004D5777" w:rsidP="003752F7">
      <w:pPr>
        <w:spacing w:line="240" w:lineRule="auto"/>
      </w:pPr>
      <w:r>
        <w:separator/>
      </w:r>
    </w:p>
  </w:endnote>
  <w:endnote w:type="continuationSeparator" w:id="0">
    <w:p w14:paraId="0120A20F" w14:textId="77777777" w:rsidR="004D5777" w:rsidRDefault="004D5777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B50D99" w14:textId="7C2A08D1" w:rsidR="0070731A" w:rsidRPr="003752F7" w:rsidRDefault="0070731A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8234D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67D76EF6" w14:textId="77777777" w:rsidR="0070731A" w:rsidRDefault="007073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EDAF" w14:textId="77777777" w:rsidR="004D5777" w:rsidRDefault="004D5777" w:rsidP="003752F7">
      <w:pPr>
        <w:spacing w:line="240" w:lineRule="auto"/>
      </w:pPr>
      <w:r>
        <w:separator/>
      </w:r>
    </w:p>
  </w:footnote>
  <w:footnote w:type="continuationSeparator" w:id="0">
    <w:p w14:paraId="1D668BEA" w14:textId="77777777" w:rsidR="004D5777" w:rsidRDefault="004D5777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B5E6" w14:textId="77777777" w:rsidR="0070731A" w:rsidRDefault="0070731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14:paraId="50850069" w14:textId="77777777" w:rsidR="0070731A" w:rsidRPr="0056168D" w:rsidRDefault="0070731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196D9D67" w14:textId="77777777" w:rsidR="0070731A" w:rsidRDefault="0070731A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1D3C496B" w14:textId="77777777" w:rsidR="0070731A" w:rsidRPr="006762AA" w:rsidRDefault="0070731A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2F3B"/>
    <w:rsid w:val="000050E6"/>
    <w:rsid w:val="00007771"/>
    <w:rsid w:val="000110B8"/>
    <w:rsid w:val="000141D6"/>
    <w:rsid w:val="00014DC9"/>
    <w:rsid w:val="00017FBC"/>
    <w:rsid w:val="00026BC8"/>
    <w:rsid w:val="00041CD6"/>
    <w:rsid w:val="00042E0A"/>
    <w:rsid w:val="00043C0D"/>
    <w:rsid w:val="00044441"/>
    <w:rsid w:val="00051904"/>
    <w:rsid w:val="00051A3B"/>
    <w:rsid w:val="00053737"/>
    <w:rsid w:val="00053FCD"/>
    <w:rsid w:val="000763CD"/>
    <w:rsid w:val="00080175"/>
    <w:rsid w:val="00090BA6"/>
    <w:rsid w:val="000A6B45"/>
    <w:rsid w:val="000A70ED"/>
    <w:rsid w:val="000B38F5"/>
    <w:rsid w:val="000B4528"/>
    <w:rsid w:val="000B7AB0"/>
    <w:rsid w:val="000C67DF"/>
    <w:rsid w:val="000C6C07"/>
    <w:rsid w:val="000D64F7"/>
    <w:rsid w:val="000E490F"/>
    <w:rsid w:val="000E62DA"/>
    <w:rsid w:val="001052AA"/>
    <w:rsid w:val="00115C7E"/>
    <w:rsid w:val="001203F6"/>
    <w:rsid w:val="0012394C"/>
    <w:rsid w:val="00123C23"/>
    <w:rsid w:val="00123D94"/>
    <w:rsid w:val="0012779F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03B13"/>
    <w:rsid w:val="00226E28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C2122"/>
    <w:rsid w:val="002F2B2A"/>
    <w:rsid w:val="002F7B50"/>
    <w:rsid w:val="003037F9"/>
    <w:rsid w:val="003212D0"/>
    <w:rsid w:val="0032165A"/>
    <w:rsid w:val="00334F29"/>
    <w:rsid w:val="003376B5"/>
    <w:rsid w:val="0034706C"/>
    <w:rsid w:val="00353468"/>
    <w:rsid w:val="00357D88"/>
    <w:rsid w:val="00372A5D"/>
    <w:rsid w:val="003752F7"/>
    <w:rsid w:val="0037720B"/>
    <w:rsid w:val="00382120"/>
    <w:rsid w:val="00387352"/>
    <w:rsid w:val="003928AB"/>
    <w:rsid w:val="003A4A11"/>
    <w:rsid w:val="003D2F0A"/>
    <w:rsid w:val="003D455E"/>
    <w:rsid w:val="003E761E"/>
    <w:rsid w:val="003F0931"/>
    <w:rsid w:val="003F6A7C"/>
    <w:rsid w:val="00423161"/>
    <w:rsid w:val="004256BB"/>
    <w:rsid w:val="00425FB9"/>
    <w:rsid w:val="004264DD"/>
    <w:rsid w:val="00427E00"/>
    <w:rsid w:val="00442AB9"/>
    <w:rsid w:val="00460049"/>
    <w:rsid w:val="004600AE"/>
    <w:rsid w:val="00460CF2"/>
    <w:rsid w:val="00473BD3"/>
    <w:rsid w:val="00474F95"/>
    <w:rsid w:val="00485968"/>
    <w:rsid w:val="00486A9E"/>
    <w:rsid w:val="00491EA9"/>
    <w:rsid w:val="0049226A"/>
    <w:rsid w:val="004A1F23"/>
    <w:rsid w:val="004B1A67"/>
    <w:rsid w:val="004D5777"/>
    <w:rsid w:val="004D63F0"/>
    <w:rsid w:val="004D6CE8"/>
    <w:rsid w:val="004D7262"/>
    <w:rsid w:val="004E1122"/>
    <w:rsid w:val="004F21E1"/>
    <w:rsid w:val="004F7E23"/>
    <w:rsid w:val="0051281F"/>
    <w:rsid w:val="00514489"/>
    <w:rsid w:val="00516CB0"/>
    <w:rsid w:val="005342A4"/>
    <w:rsid w:val="00535C25"/>
    <w:rsid w:val="0053703A"/>
    <w:rsid w:val="00541B84"/>
    <w:rsid w:val="00541C6C"/>
    <w:rsid w:val="00543A8C"/>
    <w:rsid w:val="0055601A"/>
    <w:rsid w:val="0056168D"/>
    <w:rsid w:val="00567BA9"/>
    <w:rsid w:val="00571EAF"/>
    <w:rsid w:val="0057510C"/>
    <w:rsid w:val="0058234D"/>
    <w:rsid w:val="0059109E"/>
    <w:rsid w:val="00595933"/>
    <w:rsid w:val="00596AD6"/>
    <w:rsid w:val="005A5F31"/>
    <w:rsid w:val="005A71F4"/>
    <w:rsid w:val="005B10D9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1000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37FA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0731A"/>
    <w:rsid w:val="007148BD"/>
    <w:rsid w:val="00733C52"/>
    <w:rsid w:val="00734E3C"/>
    <w:rsid w:val="00743B5F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20D3"/>
    <w:rsid w:val="00813F18"/>
    <w:rsid w:val="00817160"/>
    <w:rsid w:val="00821CAD"/>
    <w:rsid w:val="00824730"/>
    <w:rsid w:val="00832F16"/>
    <w:rsid w:val="00854006"/>
    <w:rsid w:val="0085531D"/>
    <w:rsid w:val="008572CF"/>
    <w:rsid w:val="00857E91"/>
    <w:rsid w:val="00860EDC"/>
    <w:rsid w:val="008949B2"/>
    <w:rsid w:val="008B5B05"/>
    <w:rsid w:val="008B639E"/>
    <w:rsid w:val="008C71A8"/>
    <w:rsid w:val="008D7AB4"/>
    <w:rsid w:val="008E2991"/>
    <w:rsid w:val="00910D22"/>
    <w:rsid w:val="009217B6"/>
    <w:rsid w:val="00922FAE"/>
    <w:rsid w:val="00941837"/>
    <w:rsid w:val="00950EFD"/>
    <w:rsid w:val="00973188"/>
    <w:rsid w:val="009775A0"/>
    <w:rsid w:val="00987E5E"/>
    <w:rsid w:val="00997E4E"/>
    <w:rsid w:val="009A202B"/>
    <w:rsid w:val="009A5F55"/>
    <w:rsid w:val="009B7365"/>
    <w:rsid w:val="009C3761"/>
    <w:rsid w:val="009C4AC1"/>
    <w:rsid w:val="009E0435"/>
    <w:rsid w:val="009E4343"/>
    <w:rsid w:val="009E4AE7"/>
    <w:rsid w:val="009E6D38"/>
    <w:rsid w:val="009F3B49"/>
    <w:rsid w:val="009F4702"/>
    <w:rsid w:val="009F60BF"/>
    <w:rsid w:val="00A024C2"/>
    <w:rsid w:val="00A049AE"/>
    <w:rsid w:val="00A11E0F"/>
    <w:rsid w:val="00A30721"/>
    <w:rsid w:val="00A37102"/>
    <w:rsid w:val="00A464A6"/>
    <w:rsid w:val="00A51761"/>
    <w:rsid w:val="00A5398B"/>
    <w:rsid w:val="00A6702D"/>
    <w:rsid w:val="00A8064B"/>
    <w:rsid w:val="00A81023"/>
    <w:rsid w:val="00A87FB9"/>
    <w:rsid w:val="00A9079D"/>
    <w:rsid w:val="00A945CF"/>
    <w:rsid w:val="00A9585D"/>
    <w:rsid w:val="00AB072A"/>
    <w:rsid w:val="00AB1B26"/>
    <w:rsid w:val="00AB3BBC"/>
    <w:rsid w:val="00AC2A28"/>
    <w:rsid w:val="00AE4966"/>
    <w:rsid w:val="00AE583C"/>
    <w:rsid w:val="00AF0BDD"/>
    <w:rsid w:val="00AF5A21"/>
    <w:rsid w:val="00B00282"/>
    <w:rsid w:val="00B008DD"/>
    <w:rsid w:val="00B0758A"/>
    <w:rsid w:val="00B21E36"/>
    <w:rsid w:val="00B2671D"/>
    <w:rsid w:val="00B30B26"/>
    <w:rsid w:val="00B32F1D"/>
    <w:rsid w:val="00B33D8A"/>
    <w:rsid w:val="00B3685C"/>
    <w:rsid w:val="00B462A0"/>
    <w:rsid w:val="00B50074"/>
    <w:rsid w:val="00B702A7"/>
    <w:rsid w:val="00B81B4D"/>
    <w:rsid w:val="00BA23C0"/>
    <w:rsid w:val="00BA44CE"/>
    <w:rsid w:val="00BB14EF"/>
    <w:rsid w:val="00BD2918"/>
    <w:rsid w:val="00BF6353"/>
    <w:rsid w:val="00C11455"/>
    <w:rsid w:val="00C11825"/>
    <w:rsid w:val="00C1681E"/>
    <w:rsid w:val="00C1748C"/>
    <w:rsid w:val="00C26C44"/>
    <w:rsid w:val="00C27C83"/>
    <w:rsid w:val="00C4214E"/>
    <w:rsid w:val="00C630D3"/>
    <w:rsid w:val="00C851F1"/>
    <w:rsid w:val="00C8696B"/>
    <w:rsid w:val="00C86D3A"/>
    <w:rsid w:val="00C92FC6"/>
    <w:rsid w:val="00C92FFA"/>
    <w:rsid w:val="00CA7450"/>
    <w:rsid w:val="00CB7C7D"/>
    <w:rsid w:val="00CC0AEB"/>
    <w:rsid w:val="00CC2E6C"/>
    <w:rsid w:val="00CC6B7D"/>
    <w:rsid w:val="00CC7593"/>
    <w:rsid w:val="00CD5196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40702"/>
    <w:rsid w:val="00D55EBC"/>
    <w:rsid w:val="00D6094C"/>
    <w:rsid w:val="00D66DB9"/>
    <w:rsid w:val="00D7559F"/>
    <w:rsid w:val="00D756F0"/>
    <w:rsid w:val="00D83186"/>
    <w:rsid w:val="00D85888"/>
    <w:rsid w:val="00DB64DF"/>
    <w:rsid w:val="00DC0E24"/>
    <w:rsid w:val="00DD690F"/>
    <w:rsid w:val="00DE2ADD"/>
    <w:rsid w:val="00DF7C5F"/>
    <w:rsid w:val="00E166DE"/>
    <w:rsid w:val="00E25A42"/>
    <w:rsid w:val="00E30AA9"/>
    <w:rsid w:val="00E44EDD"/>
    <w:rsid w:val="00E573A1"/>
    <w:rsid w:val="00E65FFC"/>
    <w:rsid w:val="00E77F44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A291C"/>
    <w:rsid w:val="00FB34C0"/>
    <w:rsid w:val="00FB6D6C"/>
    <w:rsid w:val="00FC2E7B"/>
    <w:rsid w:val="00FC3308"/>
    <w:rsid w:val="00FC340A"/>
    <w:rsid w:val="00FC71F5"/>
    <w:rsid w:val="00FD1218"/>
    <w:rsid w:val="00FD150A"/>
    <w:rsid w:val="00FD6540"/>
    <w:rsid w:val="00FE0E66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89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23C2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6E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6E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6E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E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E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23C2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6E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6E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6E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E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E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FF01F-313E-4FFE-896C-EBADC2B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3</cp:revision>
  <cp:lastPrinted>2013-03-17T11:48:00Z</cp:lastPrinted>
  <dcterms:created xsi:type="dcterms:W3CDTF">2017-07-20T14:09:00Z</dcterms:created>
  <dcterms:modified xsi:type="dcterms:W3CDTF">2017-07-20T14:09:00Z</dcterms:modified>
</cp:coreProperties>
</file>